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2" w:type="pct"/>
        <w:tblInd w:w="-176" w:type="dxa"/>
        <w:tblLook w:val="0000" w:firstRow="0" w:lastRow="0" w:firstColumn="0" w:lastColumn="0" w:noHBand="0" w:noVBand="0"/>
      </w:tblPr>
      <w:tblGrid>
        <w:gridCol w:w="10270"/>
      </w:tblGrid>
      <w:tr w:rsidR="009C56A7" w:rsidRPr="0024387E" w:rsidTr="000437C1">
        <w:tc>
          <w:tcPr>
            <w:tcW w:w="5000" w:type="pct"/>
          </w:tcPr>
          <w:p w:rsidR="00D12377" w:rsidRPr="00C97119" w:rsidRDefault="00D12377" w:rsidP="00D12377">
            <w:pPr>
              <w:pStyle w:val="CWHead"/>
              <w:keepNext/>
              <w:keepLines/>
              <w:tabs>
                <w:tab w:val="clear" w:pos="2880"/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 w:rsidRPr="00C97119">
              <w:rPr>
                <w:rFonts w:ascii="Arial" w:hAnsi="Arial" w:cs="Arial"/>
                <w:sz w:val="22"/>
                <w:szCs w:val="22"/>
              </w:rPr>
              <w:t xml:space="preserve">Oddiel 1. </w:t>
            </w:r>
            <w:r w:rsidRPr="00B34855">
              <w:rPr>
                <w:rFonts w:ascii="Arial" w:hAnsi="Arial" w:cs="Arial"/>
                <w:sz w:val="22"/>
                <w:szCs w:val="22"/>
              </w:rPr>
              <w:tab/>
              <w:t>IDENTIFIKÁCIA LÁTKY / ZMESI A IDENTIFIKÁCIA SPOLO</w:t>
            </w:r>
            <w:r w:rsidRPr="00B34855">
              <w:rPr>
                <w:rFonts w:ascii="Arial" w:hAnsi="Arial" w:cs="Arial" w:hint="eastAsia"/>
                <w:sz w:val="22"/>
                <w:szCs w:val="22"/>
              </w:rPr>
              <w:t>Č</w:t>
            </w:r>
            <w:r w:rsidRPr="00B34855">
              <w:rPr>
                <w:rFonts w:ascii="Arial" w:hAnsi="Arial" w:cs="Arial"/>
                <w:sz w:val="22"/>
                <w:szCs w:val="22"/>
              </w:rPr>
              <w:t>NOSTI (PODNIKU)</w:t>
            </w:r>
          </w:p>
        </w:tc>
      </w:tr>
      <w:tr w:rsidR="009C56A7" w:rsidRPr="009C56A7" w:rsidTr="000437C1">
        <w:trPr>
          <w:trHeight w:val="3820"/>
        </w:trPr>
        <w:tc>
          <w:tcPr>
            <w:tcW w:w="5000" w:type="pct"/>
          </w:tcPr>
          <w:p w:rsidR="00D12377" w:rsidRPr="009C56A7" w:rsidRDefault="00D12377" w:rsidP="003B1CB7">
            <w:pPr>
              <w:pStyle w:val="Nadpis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>
              <w:rPr>
                <w:rFonts w:ascii="Arial" w:hAnsi="Arial"/>
                <w:b/>
                <w:snapToGrid/>
                <w:sz w:val="18"/>
              </w:rPr>
              <w:t>Identifikátor produktu</w:t>
            </w:r>
          </w:p>
          <w:p w:rsidR="00D12377" w:rsidRPr="009C56A7" w:rsidRDefault="00BC5DF3" w:rsidP="00BB75FE">
            <w:pPr>
              <w:widowControl/>
              <w:autoSpaceDE w:val="0"/>
              <w:autoSpaceDN w:val="0"/>
              <w:adjustRightInd w:val="0"/>
              <w:spacing w:after="120"/>
              <w:ind w:firstLine="601"/>
              <w:rPr>
                <w:rFonts w:cs="Arial"/>
                <w:b/>
                <w:bCs/>
                <w:sz w:val="24"/>
              </w:rPr>
            </w:pPr>
            <w:r w:rsidRPr="00BC5DF3">
              <w:rPr>
                <w:b/>
                <w:sz w:val="24"/>
              </w:rPr>
              <w:t>APIS</w:t>
            </w:r>
            <w:r w:rsidR="008D5032" w:rsidRPr="008D5032">
              <w:rPr>
                <w:b/>
                <w:sz w:val="24"/>
              </w:rPr>
              <w:t xml:space="preserve"> 200 SE</w:t>
            </w:r>
          </w:p>
          <w:p w:rsidR="00D12377" w:rsidRPr="009C56A7" w:rsidRDefault="00D12377" w:rsidP="003B1CB7">
            <w:pPr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cs="Arial"/>
                <w:b/>
                <w:bCs/>
                <w:sz w:val="22"/>
              </w:rPr>
            </w:pPr>
            <w:r>
              <w:rPr>
                <w:b/>
                <w:snapToGrid/>
                <w:sz w:val="18"/>
              </w:rPr>
              <w:t>Relevantné identifikované použitia látky alebo zmesi a použitia, ktoré sa neodporúčajú</w:t>
            </w:r>
          </w:p>
          <w:p w:rsidR="00D12377" w:rsidRPr="009C56A7" w:rsidRDefault="00FA54F3" w:rsidP="00760252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>
              <w:rPr>
                <w:snapToGrid/>
                <w:sz w:val="18"/>
              </w:rPr>
              <w:t xml:space="preserve">Prípravok na ochranu rastlín - </w:t>
            </w:r>
            <w:r w:rsidR="00C33D96" w:rsidRPr="00C33D96">
              <w:rPr>
                <w:snapToGrid/>
                <w:sz w:val="18"/>
              </w:rPr>
              <w:t>insekticíd vo forme suspenzie-emulzie</w:t>
            </w:r>
            <w:r w:rsidR="008D5032" w:rsidRPr="00C33D96">
              <w:rPr>
                <w:snapToGrid/>
                <w:sz w:val="18"/>
              </w:rPr>
              <w:t xml:space="preserve">. </w:t>
            </w:r>
            <w:r>
              <w:rPr>
                <w:snapToGrid/>
                <w:sz w:val="18"/>
              </w:rPr>
              <w:t>Prípravok určený len na profesionálne použitie. Používať len v súlade s nálepkou - návodom na obsluhu.</w:t>
            </w:r>
          </w:p>
          <w:p w:rsidR="00D12377" w:rsidRPr="009C56A7" w:rsidRDefault="00D12377" w:rsidP="003B1CB7">
            <w:pPr>
              <w:pStyle w:val="Nadpis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>
              <w:rPr>
                <w:rFonts w:ascii="Arial" w:hAnsi="Arial"/>
                <w:b/>
                <w:snapToGrid/>
                <w:sz w:val="18"/>
              </w:rPr>
              <w:t>Údaje o dodávateľovi karty bezpečnostných údajov</w:t>
            </w:r>
          </w:p>
          <w:p w:rsidR="0047585C" w:rsidRPr="00411D72" w:rsidRDefault="0047585C" w:rsidP="0047585C">
            <w:pPr>
              <w:widowControl/>
              <w:ind w:firstLine="601"/>
              <w:rPr>
                <w:sz w:val="18"/>
              </w:rPr>
            </w:pPr>
            <w:r>
              <w:rPr>
                <w:sz w:val="18"/>
                <w:u w:val="single"/>
              </w:rPr>
              <w:t>Výrobca</w:t>
            </w:r>
            <w:r>
              <w:rPr>
                <w:sz w:val="18"/>
              </w:rPr>
              <w:t xml:space="preserve">: </w:t>
            </w:r>
            <w:r w:rsidRPr="008D7EC3">
              <w:rPr>
                <w:sz w:val="18"/>
              </w:rPr>
              <w:t>INNVIGO Sp. z o.o.</w:t>
            </w:r>
          </w:p>
          <w:p w:rsidR="0047585C" w:rsidRPr="00411D72" w:rsidRDefault="0047585C" w:rsidP="0047585C">
            <w:pPr>
              <w:widowControl/>
              <w:ind w:firstLine="601"/>
              <w:rPr>
                <w:sz w:val="18"/>
              </w:rPr>
            </w:pPr>
            <w:r>
              <w:rPr>
                <w:sz w:val="18"/>
              </w:rPr>
              <w:t xml:space="preserve">adresa: </w:t>
            </w:r>
            <w:r w:rsidRPr="008D7EC3">
              <w:rPr>
                <w:sz w:val="18"/>
              </w:rPr>
              <w:t>ul. Al. Jerozolimskie 178, 02-486 Varšava</w:t>
            </w:r>
          </w:p>
          <w:p w:rsidR="0047585C" w:rsidRPr="00411D72" w:rsidRDefault="0047585C" w:rsidP="0047585C">
            <w:pPr>
              <w:widowControl/>
              <w:ind w:firstLine="601"/>
              <w:rPr>
                <w:sz w:val="18"/>
              </w:rPr>
            </w:pPr>
            <w:r>
              <w:rPr>
                <w:sz w:val="18"/>
              </w:rPr>
              <w:t xml:space="preserve">IČ DPH: </w:t>
            </w:r>
            <w:r w:rsidRPr="008D7EC3">
              <w:rPr>
                <w:sz w:val="18"/>
              </w:rPr>
              <w:t>PL 557-16-98-060</w:t>
            </w:r>
          </w:p>
          <w:p w:rsidR="0047585C" w:rsidRPr="00411D72" w:rsidRDefault="0047585C" w:rsidP="0047585C">
            <w:pPr>
              <w:widowControl/>
              <w:ind w:firstLine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telefónne číslo: </w:t>
            </w:r>
            <w:r w:rsidRPr="008D7EC3">
              <w:rPr>
                <w:sz w:val="18"/>
              </w:rPr>
              <w:t>+48 22 468 26 70</w:t>
            </w:r>
          </w:p>
          <w:p w:rsidR="0047585C" w:rsidRPr="00411D72" w:rsidRDefault="0047585C" w:rsidP="0047585C">
            <w:pPr>
              <w:widowControl/>
              <w:ind w:firstLine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e-mail: </w:t>
            </w:r>
            <w:r w:rsidRPr="008D7EC3">
              <w:rPr>
                <w:sz w:val="18"/>
              </w:rPr>
              <w:t>biuro@innviqo.com</w:t>
            </w:r>
          </w:p>
          <w:p w:rsidR="00D12377" w:rsidRPr="009C56A7" w:rsidRDefault="00D12377" w:rsidP="003B1CB7">
            <w:pPr>
              <w:widowControl/>
              <w:ind w:firstLine="601"/>
              <w:rPr>
                <w:rFonts w:cs="Arial"/>
                <w:sz w:val="18"/>
              </w:rPr>
            </w:pPr>
            <w:r>
              <w:rPr>
                <w:sz w:val="18"/>
              </w:rPr>
              <w:t>Osoba zodpovedná za kartu bezpečnostných údajov: RD@chemirol.com.pl</w:t>
            </w:r>
          </w:p>
          <w:p w:rsidR="00D12377" w:rsidRPr="009C56A7" w:rsidRDefault="00D12377" w:rsidP="003B1CB7">
            <w:pPr>
              <w:pStyle w:val="Nadpis5"/>
              <w:keepNext w:val="0"/>
              <w:keepLines w:val="0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60" w:after="60"/>
              <w:ind w:left="601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>
              <w:rPr>
                <w:rFonts w:ascii="Arial" w:hAnsi="Arial"/>
                <w:b/>
                <w:snapToGrid/>
                <w:sz w:val="18"/>
              </w:rPr>
              <w:t>Núdzové telefónne číslo v Poľsku</w:t>
            </w:r>
          </w:p>
          <w:p w:rsidR="00EC3B86" w:rsidRPr="00EC3B86" w:rsidRDefault="00EC3B86" w:rsidP="00EC3B86">
            <w:pPr>
              <w:widowControl/>
              <w:ind w:firstLine="601"/>
              <w:rPr>
                <w:sz w:val="18"/>
              </w:rPr>
            </w:pPr>
            <w:r w:rsidRPr="00EC3B86">
              <w:rPr>
                <w:sz w:val="18"/>
              </w:rPr>
              <w:t xml:space="preserve">V prípade potreby lekár môže liečbu konzultovať s Národným toxikologickým informačným centrom v Bratislave (číslo </w:t>
            </w:r>
          </w:p>
          <w:p w:rsidR="00D12377" w:rsidRPr="009C56A7" w:rsidRDefault="00EC3B86" w:rsidP="00EC3B86">
            <w:pPr>
              <w:pStyle w:val="Obyajntext"/>
              <w:ind w:left="601"/>
              <w:jc w:val="both"/>
              <w:rPr>
                <w:rFonts w:cs="Arial"/>
                <w:b/>
                <w:bCs/>
              </w:rPr>
            </w:pPr>
            <w:r w:rsidRPr="00EC3B86">
              <w:rPr>
                <w:rFonts w:ascii="Arial" w:hAnsi="Arial"/>
                <w:snapToGrid w:val="0"/>
                <w:sz w:val="18"/>
              </w:rPr>
              <w:t>telefónu: 02/5477 4166).</w:t>
            </w:r>
          </w:p>
        </w:tc>
      </w:tr>
    </w:tbl>
    <w:p w:rsidR="00BB75FE" w:rsidRPr="009C56A7" w:rsidRDefault="00BB75FE"/>
    <w:tbl>
      <w:tblPr>
        <w:tblpPr w:leftFromText="141" w:rightFromText="141" w:vertAnchor="text" w:horzAnchor="margin" w:tblpX="-170" w:tblpY="24"/>
        <w:tblOverlap w:val="never"/>
        <w:tblW w:w="1048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9C56A7" w:rsidRPr="009C56A7" w:rsidTr="005F4AA6">
        <w:trPr>
          <w:trHeight w:val="562"/>
        </w:trPr>
        <w:tc>
          <w:tcPr>
            <w:tcW w:w="10488" w:type="dxa"/>
            <w:shd w:val="clear" w:color="auto" w:fill="auto"/>
          </w:tcPr>
          <w:p w:rsidR="00D12377" w:rsidRPr="009C56A7" w:rsidRDefault="00D12377" w:rsidP="005F4AA6">
            <w:pPr>
              <w:pStyle w:val="CWHead"/>
              <w:keepNext/>
              <w:keepLines/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2. </w:t>
            </w:r>
            <w:r>
              <w:tab/>
            </w:r>
            <w:r>
              <w:rPr>
                <w:rFonts w:ascii="Arial" w:hAnsi="Arial"/>
                <w:sz w:val="22"/>
              </w:rPr>
              <w:t>IDENTIFIKÁCIA NEBEZPEČENSTIEV</w:t>
            </w:r>
          </w:p>
        </w:tc>
      </w:tr>
      <w:tr w:rsidR="009C56A7" w:rsidRPr="0024387E" w:rsidTr="005F4AA6">
        <w:tc>
          <w:tcPr>
            <w:tcW w:w="10488" w:type="dxa"/>
            <w:shd w:val="clear" w:color="auto" w:fill="auto"/>
          </w:tcPr>
          <w:p w:rsidR="00D12377" w:rsidRPr="009C56A7" w:rsidRDefault="00D12377" w:rsidP="005F4AA6">
            <w:pPr>
              <w:pStyle w:val="Nadpis5"/>
              <w:keepNext w:val="0"/>
              <w:keepLines w:val="0"/>
              <w:widowControl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napToGrid/>
                <w:sz w:val="18"/>
              </w:rPr>
            </w:pPr>
            <w:r>
              <w:rPr>
                <w:rFonts w:ascii="Arial" w:hAnsi="Arial"/>
                <w:snapToGrid/>
                <w:sz w:val="18"/>
              </w:rPr>
              <w:t>Produkt je klasifikovaný ako nebezpečný podľa platných predpisov.</w:t>
            </w:r>
          </w:p>
          <w:p w:rsidR="00D12377" w:rsidRPr="009C56A7" w:rsidRDefault="00D12377" w:rsidP="005F4AA6">
            <w:pPr>
              <w:pStyle w:val="Nadpis5"/>
              <w:keepNext w:val="0"/>
              <w:keepLines w:val="0"/>
              <w:widowControl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Arial" w:hAnsi="Arial" w:cs="Arial"/>
                <w:b/>
                <w:bCs/>
                <w:snapToGrid/>
                <w:sz w:val="18"/>
              </w:rPr>
            </w:pPr>
            <w:r>
              <w:rPr>
                <w:rFonts w:ascii="Arial" w:hAnsi="Arial"/>
                <w:b/>
                <w:snapToGrid/>
                <w:sz w:val="18"/>
              </w:rPr>
              <w:t>Klasifikácia zmesi alebo látky</w:t>
            </w:r>
          </w:p>
          <w:p w:rsidR="00946ECF" w:rsidRPr="009C56A7" w:rsidRDefault="00946ECF" w:rsidP="00B574A7">
            <w:pPr>
              <w:rPr>
                <w:rFonts w:cs="Arial"/>
                <w:bCs/>
                <w:snapToGrid/>
                <w:sz w:val="18"/>
              </w:rPr>
            </w:pPr>
          </w:p>
          <w:p w:rsidR="00946ECF" w:rsidRPr="009C56A7" w:rsidRDefault="00946ECF" w:rsidP="00946ECF">
            <w:pPr>
              <w:ind w:left="567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V súlade s nariadením č. 1272/2008/ES (CLP) </w:t>
            </w:r>
          </w:p>
          <w:p w:rsidR="008D5032" w:rsidRPr="008D5032" w:rsidRDefault="0047585C" w:rsidP="008D5032">
            <w:pPr>
              <w:ind w:left="567"/>
              <w:rPr>
                <w:snapToGrid/>
                <w:sz w:val="18"/>
              </w:rPr>
            </w:pPr>
            <w:r>
              <w:rPr>
                <w:snapToGrid/>
                <w:sz w:val="18"/>
              </w:rPr>
              <w:t>Aquatic Chronic 1; H410</w:t>
            </w:r>
          </w:p>
          <w:p w:rsidR="00760252" w:rsidRDefault="008D5032" w:rsidP="008D5032">
            <w:pPr>
              <w:ind w:left="567"/>
              <w:rPr>
                <w:snapToGrid/>
                <w:sz w:val="18"/>
              </w:rPr>
            </w:pPr>
            <w:r w:rsidRPr="008D5032">
              <w:rPr>
                <w:snapToGrid/>
                <w:sz w:val="18"/>
              </w:rPr>
              <w:t>Acute Tox.4 H302</w:t>
            </w:r>
          </w:p>
          <w:p w:rsidR="008D5032" w:rsidRPr="007F130D" w:rsidRDefault="008D5032" w:rsidP="008D5032">
            <w:pPr>
              <w:ind w:left="567"/>
              <w:rPr>
                <w:rFonts w:cs="Arial"/>
                <w:b/>
                <w:bCs/>
                <w:snapToGrid/>
                <w:sz w:val="18"/>
              </w:rPr>
            </w:pPr>
          </w:p>
          <w:p w:rsidR="00D12377" w:rsidRPr="009C56A7" w:rsidRDefault="00D12377" w:rsidP="005F4AA6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rFonts w:cs="Arial"/>
                <w:b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Prvky označovania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  <w:r>
              <w:rPr>
                <w:snapToGrid/>
                <w:sz w:val="18"/>
                <w:u w:val="single"/>
              </w:rPr>
              <w:t>V súlade s nariadením č. 1272/2008/ES (CLP)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497921D2" wp14:editId="47134217">
                  <wp:extent cx="908262" cy="907422"/>
                  <wp:effectExtent l="0" t="0" r="6350" b="6985"/>
                  <wp:docPr id="7" name="Obraz 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12" cy="90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85C">
              <w:rPr>
                <w:rFonts w:cs="Arial"/>
                <w:bCs/>
                <w:noProof/>
                <w:snapToGrid/>
                <w:sz w:val="18"/>
                <w:u w:val="single"/>
                <w:lang w:val="pl-PL" w:eastAsia="pl-PL" w:bidi="ar-SA"/>
              </w:rPr>
              <w:drawing>
                <wp:inline distT="0" distB="0" distL="0" distR="0" wp14:anchorId="6842FF62">
                  <wp:extent cx="902335" cy="9023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6ECF" w:rsidRPr="008A5321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 w:rsidRPr="008A5321">
              <w:rPr>
                <w:noProof/>
                <w:snapToGrid/>
                <w:sz w:val="18"/>
              </w:rPr>
              <w:t xml:space="preserve"> </w:t>
            </w:r>
            <w:r w:rsidR="008A5321" w:rsidRPr="008A5321">
              <w:rPr>
                <w:noProof/>
                <w:snapToGrid/>
                <w:sz w:val="18"/>
              </w:rPr>
              <w:t>Pozor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  <w:u w:val="single"/>
              </w:rPr>
            </w:pP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Výstražné upozornenia (H-vety):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H41</w:t>
            </w:r>
            <w:r w:rsidR="0047585C">
              <w:rPr>
                <w:b/>
                <w:snapToGrid/>
                <w:sz w:val="18"/>
              </w:rPr>
              <w:t>0</w:t>
            </w:r>
            <w:r>
              <w:rPr>
                <w:b/>
                <w:snapToGrid/>
                <w:sz w:val="18"/>
              </w:rPr>
              <w:t xml:space="preserve"> – </w:t>
            </w:r>
            <w:r w:rsidR="0047585C">
              <w:t xml:space="preserve"> </w:t>
            </w:r>
            <w:r w:rsidR="0047585C" w:rsidRPr="0047585C">
              <w:rPr>
                <w:snapToGrid/>
                <w:sz w:val="18"/>
              </w:rPr>
              <w:t>Veľmi jedovatý pre vodné organizmy, s dlhodobými účinkami.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H3</w:t>
            </w:r>
            <w:r w:rsidR="008D5032">
              <w:rPr>
                <w:b/>
                <w:snapToGrid/>
                <w:sz w:val="18"/>
              </w:rPr>
              <w:t>02</w:t>
            </w:r>
            <w:r>
              <w:rPr>
                <w:b/>
                <w:snapToGrid/>
                <w:sz w:val="18"/>
              </w:rPr>
              <w:t xml:space="preserve"> – </w:t>
            </w:r>
            <w:r w:rsidR="008D5032">
              <w:t xml:space="preserve"> </w:t>
            </w:r>
            <w:r w:rsidR="008D5032" w:rsidRPr="008D5032">
              <w:rPr>
                <w:snapToGrid/>
                <w:sz w:val="18"/>
              </w:rPr>
              <w:t>Škodlivý po požití.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Bezpečnostné upozornenia (P-vety):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 xml:space="preserve">P273 </w:t>
            </w:r>
            <w:r w:rsidR="00C97119">
              <w:rPr>
                <w:b/>
                <w:snapToGrid/>
                <w:sz w:val="18"/>
              </w:rPr>
              <w:t>–</w:t>
            </w:r>
            <w:r>
              <w:rPr>
                <w:b/>
                <w:snapToGrid/>
                <w:sz w:val="18"/>
              </w:rPr>
              <w:t xml:space="preserve"> </w:t>
            </w:r>
            <w:r>
              <w:rPr>
                <w:snapToGrid/>
                <w:sz w:val="18"/>
              </w:rPr>
              <w:t>Zabráňte uvoľneniu do životného prostredia.</w:t>
            </w:r>
          </w:p>
          <w:p w:rsidR="00946ECF" w:rsidRPr="009C56A7" w:rsidRDefault="00946ECF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 xml:space="preserve">P280 – </w:t>
            </w:r>
            <w:r>
              <w:rPr>
                <w:snapToGrid/>
                <w:sz w:val="18"/>
              </w:rPr>
              <w:t>Noste ochranné rukavice/ochranný odev/ochranné okuliare/ochranu tváre.</w:t>
            </w:r>
          </w:p>
          <w:p w:rsidR="0046311B" w:rsidRPr="009C56A7" w:rsidRDefault="008D5032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  <w:r>
              <w:rPr>
                <w:b/>
                <w:snapToGrid/>
                <w:sz w:val="18"/>
              </w:rPr>
              <w:t>P301 + P31</w:t>
            </w:r>
            <w:r w:rsidR="0046311B">
              <w:rPr>
                <w:b/>
                <w:snapToGrid/>
                <w:sz w:val="18"/>
              </w:rPr>
              <w:t>2</w:t>
            </w:r>
            <w:r w:rsidR="0046311B">
              <w:rPr>
                <w:snapToGrid/>
                <w:sz w:val="18"/>
              </w:rPr>
              <w:t xml:space="preserve"> – </w:t>
            </w:r>
            <w:r>
              <w:t xml:space="preserve"> </w:t>
            </w:r>
            <w:r w:rsidRPr="008D5032">
              <w:rPr>
                <w:snapToGrid/>
                <w:sz w:val="18"/>
              </w:rPr>
              <w:t>PO POŽITÍ: ak máte zdravotné problémy, okamžite volajte NÁRODNÉ TOXIKOLOGICKÉ INFORMAČNÉ CENTRUM alebo lekára.</w:t>
            </w:r>
          </w:p>
          <w:p w:rsidR="007E385D" w:rsidRPr="007E385D" w:rsidRDefault="007E385D" w:rsidP="007E385D">
            <w:pPr>
              <w:tabs>
                <w:tab w:val="left" w:pos="8340"/>
              </w:tabs>
              <w:snapToGrid w:val="0"/>
              <w:ind w:left="567"/>
              <w:rPr>
                <w:rFonts w:cs="Arial"/>
                <w:bCs/>
                <w:snapToGrid/>
                <w:sz w:val="18"/>
              </w:rPr>
            </w:pPr>
            <w:r w:rsidRPr="007E385D">
              <w:rPr>
                <w:b/>
                <w:snapToGrid/>
                <w:sz w:val="18"/>
              </w:rPr>
              <w:t xml:space="preserve">P391 </w:t>
            </w:r>
            <w:r w:rsidRPr="007E385D">
              <w:rPr>
                <w:rFonts w:cs="Arial"/>
                <w:bCs/>
                <w:snapToGrid/>
                <w:sz w:val="18"/>
              </w:rPr>
              <w:t>– Zozbierajte uniknutý produkt.</w:t>
            </w:r>
          </w:p>
          <w:p w:rsidR="007E385D" w:rsidRPr="007E385D" w:rsidRDefault="007E385D" w:rsidP="007E385D">
            <w:pPr>
              <w:tabs>
                <w:tab w:val="left" w:pos="8340"/>
              </w:tabs>
              <w:snapToGrid w:val="0"/>
              <w:ind w:left="567"/>
              <w:rPr>
                <w:rFonts w:cs="Arial"/>
                <w:bCs/>
                <w:snapToGrid/>
                <w:sz w:val="18"/>
              </w:rPr>
            </w:pPr>
          </w:p>
          <w:p w:rsidR="007E385D" w:rsidRPr="007E385D" w:rsidRDefault="007E385D" w:rsidP="007E385D">
            <w:pPr>
              <w:tabs>
                <w:tab w:val="left" w:pos="8340"/>
              </w:tabs>
              <w:snapToGrid w:val="0"/>
              <w:ind w:left="567"/>
              <w:rPr>
                <w:rFonts w:cs="Arial"/>
                <w:bCs/>
                <w:snapToGrid/>
                <w:sz w:val="18"/>
              </w:rPr>
            </w:pPr>
            <w:r w:rsidRPr="007E385D">
              <w:rPr>
                <w:rFonts w:cs="Arial"/>
                <w:b/>
                <w:bCs/>
                <w:snapToGrid/>
                <w:sz w:val="18"/>
              </w:rPr>
              <w:t>EUH 401</w:t>
            </w:r>
            <w:r w:rsidRPr="007E385D">
              <w:rPr>
                <w:rFonts w:cs="Arial"/>
                <w:bCs/>
                <w:snapToGrid/>
                <w:sz w:val="18"/>
              </w:rPr>
              <w:t xml:space="preserve"> – Dodržiavajte návod na používanie, aby ste zabránili vzniku rizík pre zdravie ľudí a životné prostredie.</w:t>
            </w:r>
          </w:p>
          <w:p w:rsidR="007E385D" w:rsidRPr="007E385D" w:rsidRDefault="007E385D" w:rsidP="007E385D">
            <w:pPr>
              <w:tabs>
                <w:tab w:val="left" w:pos="8340"/>
              </w:tabs>
              <w:snapToGrid w:val="0"/>
              <w:ind w:left="567"/>
              <w:rPr>
                <w:rFonts w:cs="Arial"/>
                <w:bCs/>
                <w:snapToGrid/>
                <w:sz w:val="18"/>
              </w:rPr>
            </w:pPr>
            <w:r w:rsidRPr="007E385D">
              <w:rPr>
                <w:rFonts w:cs="Arial"/>
                <w:b/>
                <w:bCs/>
                <w:snapToGrid/>
                <w:sz w:val="18"/>
              </w:rPr>
              <w:t>EUH 208</w:t>
            </w:r>
            <w:r w:rsidRPr="007E385D">
              <w:rPr>
                <w:rFonts w:cs="Arial"/>
                <w:bCs/>
                <w:snapToGrid/>
                <w:sz w:val="18"/>
              </w:rPr>
              <w:t xml:space="preserve"> –Obsahuje 1,2-benzisothiazol-3(2H)-one. Môže vyvolať alergickú reakciu.</w:t>
            </w:r>
          </w:p>
          <w:p w:rsidR="008D5032" w:rsidRPr="009C56A7" w:rsidRDefault="008D5032" w:rsidP="005F4AA6">
            <w:pPr>
              <w:tabs>
                <w:tab w:val="left" w:pos="8340"/>
              </w:tabs>
              <w:ind w:left="567"/>
              <w:rPr>
                <w:rFonts w:cs="Arial"/>
                <w:bCs/>
                <w:snapToGrid/>
                <w:sz w:val="18"/>
              </w:rPr>
            </w:pPr>
          </w:p>
          <w:p w:rsidR="00D12377" w:rsidRPr="009C56A7" w:rsidRDefault="00D12377" w:rsidP="005F4AA6">
            <w:pPr>
              <w:numPr>
                <w:ilvl w:val="1"/>
                <w:numId w:val="2"/>
              </w:numPr>
              <w:spacing w:before="60" w:after="60"/>
              <w:ind w:left="567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Iná nebezpečnosť</w:t>
            </w:r>
          </w:p>
          <w:p w:rsidR="00D12377" w:rsidRPr="009C56A7" w:rsidRDefault="0023737B" w:rsidP="00E1077F">
            <w:pPr>
              <w:ind w:left="567"/>
              <w:rPr>
                <w:sz w:val="18"/>
              </w:rPr>
            </w:pPr>
            <w:r>
              <w:rPr>
                <w:sz w:val="18"/>
              </w:rPr>
              <w:t xml:space="preserve">Iná nebezpečnosť nebola skonštatovaná. </w:t>
            </w:r>
          </w:p>
        </w:tc>
      </w:tr>
    </w:tbl>
    <w:p w:rsidR="00F3701C" w:rsidRPr="009C56A7" w:rsidRDefault="00F3701C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F3701C">
        <w:trPr>
          <w:trHeight w:val="458"/>
        </w:trPr>
        <w:tc>
          <w:tcPr>
            <w:tcW w:w="10490" w:type="dxa"/>
          </w:tcPr>
          <w:p w:rsidR="00D12377" w:rsidRPr="009C56A7" w:rsidRDefault="00D12377" w:rsidP="00F3701C">
            <w:pPr>
              <w:pStyle w:val="CWHead"/>
              <w:keepNext/>
              <w:widowControl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Oddiel 3. </w:t>
            </w:r>
            <w:r>
              <w:tab/>
            </w:r>
            <w:r>
              <w:rPr>
                <w:rFonts w:ascii="Arial" w:hAnsi="Arial"/>
                <w:sz w:val="22"/>
              </w:rPr>
              <w:t>ZLOŽENIE / INFORMÁCIA O ZLOŽKÁCH</w:t>
            </w:r>
          </w:p>
        </w:tc>
      </w:tr>
      <w:tr w:rsidR="009C56A7" w:rsidRPr="0024387E" w:rsidTr="00F3701C">
        <w:tc>
          <w:tcPr>
            <w:tcW w:w="10490" w:type="dxa"/>
          </w:tcPr>
          <w:p w:rsidR="00D12377" w:rsidRPr="009C56A7" w:rsidRDefault="00D12377" w:rsidP="003B1CB7">
            <w:pPr>
              <w:pStyle w:val="Nadpis5"/>
              <w:keepNext w:val="0"/>
              <w:keepLines w:val="0"/>
              <w:widowControl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60"/>
              <w:ind w:left="601" w:hanging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Zmesi</w:t>
            </w:r>
          </w:p>
          <w:p w:rsidR="0023737B" w:rsidRPr="009C56A7" w:rsidRDefault="0023737B" w:rsidP="003B1CB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Zložky, ktoré sú nebezpečné pre zdravie alebo životné prostredie:</w:t>
            </w: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1417"/>
              <w:gridCol w:w="1205"/>
              <w:gridCol w:w="1205"/>
              <w:gridCol w:w="1276"/>
              <w:gridCol w:w="2444"/>
            </w:tblGrid>
            <w:tr w:rsidR="00B574A7" w:rsidRPr="009C56A7" w:rsidTr="00B574A7">
              <w:trPr>
                <w:trHeight w:val="431"/>
              </w:trPr>
              <w:tc>
                <w:tcPr>
                  <w:tcW w:w="2014" w:type="dxa"/>
                </w:tcPr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Chemický názov</w:t>
                  </w:r>
                </w:p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Indexové číslo</w:t>
                  </w:r>
                </w:p>
              </w:tc>
              <w:tc>
                <w:tcPr>
                  <w:tcW w:w="1205" w:type="dxa"/>
                </w:tcPr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CAS</w:t>
                  </w:r>
                </w:p>
              </w:tc>
              <w:tc>
                <w:tcPr>
                  <w:tcW w:w="1205" w:type="dxa"/>
                </w:tcPr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Č. ES</w:t>
                  </w:r>
                </w:p>
              </w:tc>
              <w:tc>
                <w:tcPr>
                  <w:tcW w:w="1276" w:type="dxa"/>
                </w:tcPr>
                <w:p w:rsidR="00BE54E3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Obsah </w:t>
                  </w:r>
                </w:p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[% w/w]</w:t>
                  </w:r>
                </w:p>
              </w:tc>
              <w:tc>
                <w:tcPr>
                  <w:tcW w:w="2444" w:type="dxa"/>
                </w:tcPr>
                <w:p w:rsidR="00B574A7" w:rsidRPr="009C56A7" w:rsidRDefault="00B574A7" w:rsidP="00BB75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Klasifikácia podľa CLP</w:t>
                  </w:r>
                </w:p>
              </w:tc>
            </w:tr>
            <w:tr w:rsidR="00F23E03" w:rsidRPr="009C56A7" w:rsidTr="00B574A7">
              <w:trPr>
                <w:trHeight w:val="431"/>
              </w:trPr>
              <w:tc>
                <w:tcPr>
                  <w:tcW w:w="201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32"/>
                  </w:tblGrid>
                  <w:tr w:rsidR="00F23E03" w:rsidRPr="001F44E4" w:rsidTr="003178BE">
                    <w:trPr>
                      <w:trHeight w:val="93"/>
                    </w:trPr>
                    <w:tc>
                      <w:tcPr>
                        <w:tcW w:w="1632" w:type="dxa"/>
                      </w:tcPr>
                      <w:p w:rsidR="00F23E03" w:rsidRPr="001F44E4" w:rsidRDefault="00F23E03" w:rsidP="00F23E0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 w:val="16"/>
                            <w:szCs w:val="16"/>
                            <w:lang w:eastAsia="en-US"/>
                          </w:rPr>
                        </w:pPr>
                        <w:r w:rsidRPr="001F44E4">
                          <w:rPr>
                            <w:rFonts w:cs="Arial"/>
                            <w:sz w:val="16"/>
                            <w:szCs w:val="16"/>
                            <w:lang w:eastAsia="en-US"/>
                          </w:rPr>
                          <w:t>Acetamiprid</w:t>
                        </w:r>
                      </w:p>
                      <w:p w:rsidR="00F23E03" w:rsidRPr="001F44E4" w:rsidRDefault="00F23E03" w:rsidP="00F23E0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sz w:val="16"/>
                            <w:szCs w:val="16"/>
                            <w:lang w:eastAsia="en-US"/>
                          </w:rPr>
                        </w:pPr>
                        <w:r w:rsidRPr="001F44E4">
                          <w:rPr>
                            <w:rFonts w:cs="Arial"/>
                            <w:sz w:val="16"/>
                            <w:szCs w:val="16"/>
                            <w:lang w:eastAsia="en-US"/>
                          </w:rPr>
                          <w:t>(E)-N1-[(6-chloro-3-pyridyl)methyl]-N2-cyano-N1-methylacetamidine</w:t>
                        </w:r>
                      </w:p>
                    </w:tc>
                  </w:tr>
                </w:tbl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</w:rPr>
                    <w:t>608-032-00-2</w:t>
                  </w:r>
                </w:p>
              </w:tc>
              <w:tc>
                <w:tcPr>
                  <w:tcW w:w="1205" w:type="dxa"/>
                </w:tcPr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</w:rPr>
                    <w:t>135410-20-7</w:t>
                  </w:r>
                </w:p>
              </w:tc>
              <w:tc>
                <w:tcPr>
                  <w:tcW w:w="1205" w:type="dxa"/>
                </w:tcPr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</w:rPr>
                    <w:t>20 %</w:t>
                  </w:r>
                </w:p>
              </w:tc>
              <w:tc>
                <w:tcPr>
                  <w:tcW w:w="2444" w:type="dxa"/>
                </w:tcPr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  <w:lang w:eastAsia="en-US"/>
                    </w:rPr>
                    <w:t>Aquatic Chronic 3; H412</w:t>
                  </w:r>
                </w:p>
                <w:p w:rsidR="00F23E03" w:rsidRPr="001F44E4" w:rsidRDefault="00F23E03" w:rsidP="00F23E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  <w:r w:rsidRPr="001F44E4">
                    <w:rPr>
                      <w:rFonts w:cs="Arial"/>
                      <w:sz w:val="16"/>
                      <w:szCs w:val="16"/>
                      <w:lang w:eastAsia="en-US"/>
                    </w:rPr>
                    <w:t>Acute Tox.4 H302</w:t>
                  </w:r>
                </w:p>
              </w:tc>
            </w:tr>
          </w:tbl>
          <w:p w:rsidR="00D12377" w:rsidRPr="007F130D" w:rsidRDefault="00D12377" w:rsidP="00BB75FE">
            <w:pPr>
              <w:rPr>
                <w:sz w:val="18"/>
              </w:rPr>
            </w:pPr>
          </w:p>
          <w:p w:rsidR="00D12377" w:rsidRPr="009C56A7" w:rsidRDefault="00F23E03" w:rsidP="00BB75FE">
            <w:pPr>
              <w:rPr>
                <w:sz w:val="18"/>
              </w:rPr>
            </w:pPr>
            <w:r>
              <w:rPr>
                <w:sz w:val="18"/>
              </w:rPr>
              <w:t>Plné znenie symbolov a</w:t>
            </w:r>
            <w:r w:rsidR="00D12377">
              <w:rPr>
                <w:sz w:val="18"/>
              </w:rPr>
              <w:t> H-viet sa nachádza v Oddieli 16.</w:t>
            </w:r>
          </w:p>
        </w:tc>
      </w:tr>
    </w:tbl>
    <w:p w:rsidR="00D12377" w:rsidRPr="009C56A7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F3701C">
        <w:tc>
          <w:tcPr>
            <w:tcW w:w="10490" w:type="dxa"/>
          </w:tcPr>
          <w:p w:rsidR="00D12377" w:rsidRPr="009C56A7" w:rsidRDefault="00D12377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4. </w:t>
            </w:r>
            <w:r>
              <w:tab/>
            </w:r>
            <w:r>
              <w:rPr>
                <w:rFonts w:ascii="Arial" w:hAnsi="Arial"/>
                <w:sz w:val="22"/>
              </w:rPr>
              <w:t>OPATRENIA PRI PRVEJ POMOCI</w:t>
            </w:r>
          </w:p>
        </w:tc>
      </w:tr>
      <w:tr w:rsidR="009C56A7" w:rsidRPr="0024387E" w:rsidTr="00F3701C">
        <w:tc>
          <w:tcPr>
            <w:tcW w:w="10490" w:type="dxa"/>
          </w:tcPr>
          <w:p w:rsidR="00D12377" w:rsidRPr="009C56A7" w:rsidRDefault="00D12377" w:rsidP="003B1CB7">
            <w:pPr>
              <w:tabs>
                <w:tab w:val="left" w:pos="8820"/>
              </w:tabs>
              <w:spacing w:after="60"/>
              <w:ind w:left="601" w:hanging="567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4.1. </w:t>
            </w:r>
            <w:r>
              <w:tab/>
            </w:r>
            <w:r>
              <w:rPr>
                <w:b/>
                <w:sz w:val="18"/>
              </w:rPr>
              <w:t>Opis opatrení prvej pomoci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>
              <w:rPr>
                <w:sz w:val="18"/>
                <w:u w:val="single"/>
              </w:rPr>
              <w:t>Všeobecné pokyny: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Zabráňte zasiahnutiu pokožky, očí a odevov. Znečistený odev odstráňte a pred opätovným použitím vyperte. V prípade nehody alebo ak sa necítite dobre, okamžite vyhľadajte lekársku pomoc, a ak je to možné, ukážte toto označenie.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0"/>
                <w:szCs w:val="10"/>
              </w:rPr>
            </w:pP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>
              <w:rPr>
                <w:sz w:val="18"/>
                <w:u w:val="single"/>
              </w:rPr>
              <w:t>Postup v prípade: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- nadýchaní: Postihnutého odveďte na čerstvý vzduch. Ak je to potrebné, podajte kyslík alebo umelé dýchanie. V prípade pretrvávajúcich ťažkostí vyhľadajte lekársku pomoc. 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- zasiahnutí pokožky: V prípade podráždenia pokožky: Poraďte sa s lekárom, prípadne vyhľadajte lekársku pomoc.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- zasiahnutí očí: oči okamžite vypláchnite veľkým množstvom vody, rovnako aj pod viečkami. Pri pretrvávajúcom podráždení očí: Poraďte sa s lekárom, prípadne vyhľadajte lekársku pomoc.</w:t>
            </w:r>
          </w:p>
          <w:p w:rsidR="001E6044" w:rsidRPr="009C56A7" w:rsidRDefault="00963276" w:rsidP="00026D81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- požití: bez konzultácie s lekárom nevyvolávajte zvracanie. Ústa vypláchnite vodou. Ak je poškodený v bezvedomí, nepodávajte nič cez ústa.           </w:t>
            </w:r>
          </w:p>
          <w:p w:rsidR="001E6044" w:rsidRDefault="001E6044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sz w:val="18"/>
              </w:rPr>
            </w:pPr>
            <w:r>
              <w:rPr>
                <w:sz w:val="18"/>
              </w:rPr>
              <w:t xml:space="preserve">           Ak sa látka dostane do úst, prípadne pri jej požití, berte do úvahy nasledujúce opatrenia: výplach žalúdka s aktívnym uhlím, v prípade potreby ďalšia liečba.</w:t>
            </w:r>
          </w:p>
          <w:p w:rsidR="00E56BFD" w:rsidRPr="00E56BFD" w:rsidRDefault="00E56BFD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4"/>
                <w:szCs w:val="4"/>
              </w:rPr>
            </w:pPr>
          </w:p>
          <w:p w:rsidR="00D12377" w:rsidRPr="009C56A7" w:rsidRDefault="00D12377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4.2. </w:t>
            </w:r>
            <w:r>
              <w:tab/>
            </w:r>
            <w:r>
              <w:rPr>
                <w:b/>
                <w:sz w:val="18"/>
              </w:rPr>
              <w:t>Najdôležitejšie akútne a oneskorené príznaky a následky expozície</w:t>
            </w:r>
          </w:p>
          <w:p w:rsidR="001E6044" w:rsidRPr="008A5321" w:rsidRDefault="00554300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sz w:val="18"/>
              </w:rPr>
            </w:pPr>
            <w:r w:rsidRPr="008A5321">
              <w:rPr>
                <w:sz w:val="18"/>
              </w:rPr>
              <w:t xml:space="preserve">            </w:t>
            </w:r>
            <w:r w:rsidR="008A5321" w:rsidRPr="008A5321">
              <w:rPr>
                <w:sz w:val="18"/>
              </w:rPr>
              <w:t>Žiadne údaje nie sú k dispozícii.</w:t>
            </w:r>
          </w:p>
          <w:p w:rsidR="00D12377" w:rsidRPr="009C56A7" w:rsidRDefault="0039196C" w:rsidP="001E6044">
            <w:pPr>
              <w:tabs>
                <w:tab w:val="left" w:pos="8820"/>
              </w:tabs>
              <w:spacing w:before="60" w:after="60"/>
              <w:ind w:left="601" w:hanging="567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4.3. </w:t>
            </w:r>
            <w:r>
              <w:tab/>
            </w:r>
            <w:r>
              <w:rPr>
                <w:b/>
                <w:sz w:val="18"/>
              </w:rPr>
              <w:t>Údaje o akejkoľvek okamžitej lekárskej pomoci a osobitné ošetrenie postihnutého</w:t>
            </w:r>
          </w:p>
          <w:p w:rsidR="00D12377" w:rsidRPr="009C56A7" w:rsidRDefault="001E6044" w:rsidP="00BB75FE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O spôsobe ošetrenia postihnutého rozhoduje lekár po zhodnotení jeho zdravotného stavu.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  <w:u w:val="single"/>
              </w:rPr>
            </w:pPr>
            <w:r>
              <w:rPr>
                <w:sz w:val="18"/>
              </w:rPr>
              <w:t>Protijed: žiadny.</w:t>
            </w:r>
          </w:p>
          <w:p w:rsidR="00963276" w:rsidRPr="009C56A7" w:rsidRDefault="00963276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Použite symptomatickú liečbu.</w:t>
            </w:r>
          </w:p>
        </w:tc>
      </w:tr>
    </w:tbl>
    <w:p w:rsidR="00D12377" w:rsidRPr="009C56A7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F3701C">
        <w:tc>
          <w:tcPr>
            <w:tcW w:w="10490" w:type="dxa"/>
          </w:tcPr>
          <w:p w:rsidR="00D12377" w:rsidRPr="009C56A7" w:rsidRDefault="00D12377" w:rsidP="00BB75F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5. </w:t>
            </w:r>
            <w:r>
              <w:tab/>
            </w:r>
            <w:r>
              <w:rPr>
                <w:rFonts w:ascii="Arial" w:hAnsi="Arial"/>
                <w:sz w:val="22"/>
              </w:rPr>
              <w:t>POSTUP V PRÍPADE POŽIARU</w:t>
            </w:r>
          </w:p>
        </w:tc>
      </w:tr>
      <w:tr w:rsidR="009C56A7" w:rsidRPr="0024387E" w:rsidTr="00F3701C">
        <w:tc>
          <w:tcPr>
            <w:tcW w:w="10490" w:type="dxa"/>
          </w:tcPr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</w:rPr>
            </w:pPr>
            <w:r>
              <w:rPr>
                <w:sz w:val="18"/>
                <w:u w:val="single"/>
              </w:rPr>
              <w:t>Všeobecné pokyny</w:t>
            </w:r>
            <w:r>
              <w:rPr>
                <w:sz w:val="18"/>
              </w:rPr>
              <w:t>:</w:t>
            </w:r>
          </w:p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sz w:val="18"/>
              </w:rPr>
              <w:t>Z ohrozeného priestory odveďte nepovolané osoby nezúčastňujúce sa hasenia požiaru. Odstráňte zdroje zapálenia, nefajčite. V prípade potreby zavolajte hasičov.</w:t>
            </w:r>
          </w:p>
          <w:p w:rsidR="00D12377" w:rsidRPr="009C56A7" w:rsidRDefault="00D12377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5.1. </w:t>
            </w:r>
            <w:r>
              <w:tab/>
            </w:r>
            <w:r>
              <w:rPr>
                <w:b/>
                <w:sz w:val="18"/>
              </w:rPr>
              <w:t>Hasiace prostriedky</w:t>
            </w:r>
          </w:p>
          <w:p w:rsidR="001E6044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Vhodné hasiace prostriedky: alkoholu odolná pena alebo suchý hasiaci prášok (A, B, C), oxid uhličitý (snehový hasiaci prístroj), piesok alebo zem, vodná hmla. Pri hasení používajte metódy vhodné pre podmienky daného prostredia. </w:t>
            </w:r>
          </w:p>
          <w:p w:rsidR="001E6044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Nevhodné hasiace prostriedky: Silný prúd vody. </w:t>
            </w:r>
          </w:p>
          <w:p w:rsidR="00D12377" w:rsidRPr="009C56A7" w:rsidRDefault="00D12377" w:rsidP="001E6044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5.2. </w:t>
            </w:r>
            <w:r>
              <w:tab/>
            </w:r>
            <w:r>
              <w:rPr>
                <w:b/>
                <w:sz w:val="18"/>
              </w:rPr>
              <w:t>Osobitné ohrozenia vyplývajúce z látky alebo zo zmesi</w:t>
            </w:r>
          </w:p>
          <w:p w:rsidR="00963276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Pri požiari za vysokých teplôt dochádza k uvoľňovaniu nebezpečných produktov rozkladu - napr. oxidov uhlíka, oxidov dusíka, zlúčenín chlóru. </w:t>
            </w:r>
          </w:p>
          <w:p w:rsidR="00501F3E" w:rsidRPr="009C56A7" w:rsidRDefault="00501F3E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0"/>
                <w:szCs w:val="10"/>
              </w:rPr>
            </w:pPr>
          </w:p>
          <w:p w:rsidR="00D12377" w:rsidRPr="009C56A7" w:rsidRDefault="00963276" w:rsidP="00963276">
            <w:pPr>
              <w:tabs>
                <w:tab w:val="left" w:pos="8820"/>
              </w:tabs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>5.3.      Informácie pre hasičov</w:t>
            </w:r>
          </w:p>
          <w:p w:rsidR="00963276" w:rsidRPr="009C56A7" w:rsidRDefault="00963276" w:rsidP="00963276">
            <w:pPr>
              <w:tabs>
                <w:tab w:val="left" w:pos="8820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  <w:p w:rsidR="00D12377" w:rsidRPr="009C56A7" w:rsidRDefault="001E6044" w:rsidP="00963276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Kontajnery nachádzajúce sa v priestore požiaru chlaďte roztriešteným prúdom vody, a ak je to možné, odstráňte ich z nebezpečného priestoru. V prípade požiaru v uzavretom priestore používajte ochranný odev a nezávislý dýchací prístroj na stlačený vzduch. Nedovoľte, aby sa voda použitá na hasenie požiaru dostala do povrchových alebo podzemných vôd, prípadne do kanalizácie. Zvyšky po požiari a znečistenú vodu, ktorá bola použitá na hasenie požiaru, zlikvidujte v súlade s platnými predpismi.</w:t>
            </w:r>
          </w:p>
        </w:tc>
      </w:tr>
      <w:tr w:rsidR="009C56A7" w:rsidRPr="0024387E" w:rsidTr="00963276">
        <w:trPr>
          <w:trHeight w:val="80"/>
        </w:trPr>
        <w:tc>
          <w:tcPr>
            <w:tcW w:w="10490" w:type="dxa"/>
          </w:tcPr>
          <w:p w:rsidR="001E6044" w:rsidRPr="009C56A7" w:rsidRDefault="001E6044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</w:rPr>
            </w:pPr>
          </w:p>
        </w:tc>
      </w:tr>
    </w:tbl>
    <w:p w:rsidR="00D12377" w:rsidRPr="009C56A7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F3701C">
        <w:tc>
          <w:tcPr>
            <w:tcW w:w="10490" w:type="dxa"/>
            <w:shd w:val="clear" w:color="auto" w:fill="auto"/>
          </w:tcPr>
          <w:p w:rsidR="00D12377" w:rsidRPr="009C56A7" w:rsidRDefault="00D12377" w:rsidP="0054037E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Oddiel 6. </w:t>
            </w:r>
            <w:r>
              <w:tab/>
            </w:r>
            <w:r>
              <w:rPr>
                <w:rFonts w:ascii="Arial" w:hAnsi="Arial"/>
                <w:sz w:val="22"/>
              </w:rPr>
              <w:t>OPATRENIA PRI NÁHODNOM UVOĽNENÍ DO PROSTREDIA</w:t>
            </w:r>
          </w:p>
        </w:tc>
      </w:tr>
      <w:tr w:rsidR="009C56A7" w:rsidRPr="0024387E" w:rsidTr="006A523A">
        <w:trPr>
          <w:trHeight w:val="3164"/>
        </w:trPr>
        <w:tc>
          <w:tcPr>
            <w:tcW w:w="10490" w:type="dxa"/>
            <w:shd w:val="clear" w:color="auto" w:fill="auto"/>
          </w:tcPr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6.1. </w:t>
            </w:r>
            <w:r>
              <w:tab/>
            </w:r>
            <w:r>
              <w:rPr>
                <w:b/>
                <w:sz w:val="18"/>
              </w:rPr>
              <w:t>Individuálne preventívne opatrenia, ochranné vybavenie a postupy v havarijných situáciách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Používajte prostriedky osobnej ochrany - ochranný odev, ochranné rukavice a ochranu tváre. Vyhnite sa kontaktu s rozliatym alebo inak uvoľneným materiálom. Zabráňte zasiahnutiu pokožky, očí a odevov. Obmedzte prístup nepovolaných osôb do priestoru poruchy až kým sa neukončia príslušné čistiace práce. </w:t>
            </w:r>
          </w:p>
          <w:p w:rsidR="001E6044" w:rsidRPr="009C56A7" w:rsidRDefault="00D12377" w:rsidP="001E6044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6.2. </w:t>
            </w:r>
            <w:r>
              <w:tab/>
            </w:r>
            <w:r>
              <w:rPr>
                <w:b/>
                <w:sz w:val="18"/>
              </w:rPr>
              <w:t>Preventívne opatrenia v oblasti ochrany životného prostredia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Nevypúšťajte do kanalizácie. Nedovoľte, aby sa prípravok dostal do odpadových vôd, kanalizácie alebo do vodných tokov. Používajte vhodné nádoby zabraňujúce kontaminácii životného prostredia. V prípade kontaminácie životného prostredia poinformujte o tejto skutočnosti príslušné orgány. 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>6.3.</w:t>
            </w:r>
            <w:r>
              <w:tab/>
            </w:r>
            <w:r>
              <w:rPr>
                <w:b/>
                <w:sz w:val="18"/>
              </w:rPr>
              <w:t>Metódy a materiály zabraňujúce šíreniu a umožňujúce odstrániť kontamináciu</w:t>
            </w:r>
          </w:p>
          <w:p w:rsidR="001E6044" w:rsidRPr="009C56A7" w:rsidRDefault="001E6044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Zabráňte rozširovaniu znečistenia a odstráňte nasiaknutím do vhodného absorpčného materiálu obsorbujúceho kvapaliny (piesok, kremelina, piliny, univerzálny absorpčný materiál). Znečistený materiál zhromaždite vo vhodne označených kontajneroch za účelom likvidácie v zmysle platných predpisov. 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EUAlbertina"/>
                <w:b/>
                <w:sz w:val="18"/>
              </w:rPr>
            </w:pPr>
            <w:r>
              <w:rPr>
                <w:b/>
                <w:sz w:val="18"/>
              </w:rPr>
              <w:t xml:space="preserve">6.4. </w:t>
            </w:r>
            <w:r>
              <w:tab/>
            </w:r>
            <w:r>
              <w:rPr>
                <w:b/>
                <w:sz w:val="18"/>
              </w:rPr>
              <w:t>Odkazy na iné sekcie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Odstraňujte podľa pokynov uvedených v oddiele 13. Karty bezpečnostných údajov.</w:t>
            </w:r>
          </w:p>
          <w:p w:rsidR="005750A1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Pri čistení používajte prostriedky osobnej ochrany špecifikované v oddiele 8.</w:t>
            </w:r>
          </w:p>
        </w:tc>
      </w:tr>
    </w:tbl>
    <w:p w:rsidR="00D12377" w:rsidRPr="009C56A7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F3701C">
        <w:tc>
          <w:tcPr>
            <w:tcW w:w="10490" w:type="dxa"/>
          </w:tcPr>
          <w:p w:rsidR="00D12377" w:rsidRPr="009C56A7" w:rsidRDefault="00D12377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7. </w:t>
            </w:r>
            <w:r>
              <w:tab/>
            </w:r>
            <w:r>
              <w:rPr>
                <w:rFonts w:ascii="Arial" w:hAnsi="Arial"/>
                <w:sz w:val="22"/>
              </w:rPr>
              <w:t>ZAOBCHÁDZANIE S LÁTKAMI A ZMESMI A ICH SKLADOVANIE</w:t>
            </w:r>
          </w:p>
        </w:tc>
      </w:tr>
      <w:tr w:rsidR="009C56A7" w:rsidRPr="0024387E" w:rsidTr="00F3701C">
        <w:trPr>
          <w:trHeight w:val="223"/>
        </w:trPr>
        <w:tc>
          <w:tcPr>
            <w:tcW w:w="10490" w:type="dxa"/>
          </w:tcPr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7.1. </w:t>
            </w:r>
            <w:r>
              <w:tab/>
            </w:r>
            <w:r>
              <w:rPr>
                <w:b/>
                <w:sz w:val="18"/>
              </w:rPr>
              <w:t>Preventívne opatrenia týkajúce sa bezpečného postupu</w:t>
            </w:r>
          </w:p>
          <w:p w:rsidR="001E6044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Dodržujte zásady a predpisy BOZP pre prácu s chemickými látkami. Pri práci s prípravkom nejedzte, nepite ani nefajčite. Pred vstupom do miestností určených na jedenie si zložiť znečistený odev a ochranný výstroj. Znečistený odev pred opätovným použitím vyperte. Vyhýbajte sa rozliatiu prípravku. Nevdychujte výpary produktu. Vyhýbajte sa vyššej teplote, horúcim povrchom a otvorenému ohňu. Používajte prostriedky osobnej ochrany špecifikované v oddiele 8.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</w:rPr>
            </w:pPr>
            <w:r>
              <w:rPr>
                <w:b/>
                <w:sz w:val="18"/>
              </w:rPr>
              <w:t>7.2.</w:t>
            </w:r>
            <w:r>
              <w:tab/>
            </w:r>
            <w:r>
              <w:rPr>
                <w:b/>
                <w:sz w:val="18"/>
              </w:rPr>
              <w:t>Podmienky bezpečného skladovania, vrátane informácií o akejkoľvek nekompatibilite</w:t>
            </w:r>
          </w:p>
          <w:p w:rsidR="006A523A" w:rsidRPr="009C56A7" w:rsidRDefault="006A523A" w:rsidP="006A523A">
            <w:pPr>
              <w:tabs>
                <w:tab w:val="left" w:pos="8820"/>
              </w:tabs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>Uchovávajte výlučne v dobre uzavretých originálnych obaloch na suchom mieste pri teplotách v rozmedzí od 0°C do 30°C. Uchovávajte mimo dosahu nepovolaných osôb. Uchovávajte mimo dosahu detí a zvierat. Neskladujte spolu s potravinami, nápojmi a krmivami pre zvieratá. Uchovávajte mimo dosahu zdrojov zapálenia a horúcich povrchov.</w:t>
            </w:r>
          </w:p>
          <w:p w:rsidR="00D12377" w:rsidRPr="009C56A7" w:rsidRDefault="00D12377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sz w:val="18"/>
              </w:rPr>
            </w:pPr>
            <w:r>
              <w:rPr>
                <w:b/>
                <w:sz w:val="18"/>
              </w:rPr>
              <w:t xml:space="preserve">7.3. </w:t>
            </w:r>
            <w:r>
              <w:tab/>
            </w:r>
            <w:r>
              <w:rPr>
                <w:b/>
                <w:sz w:val="18"/>
              </w:rPr>
              <w:t>Detailné záverečné pokyny</w:t>
            </w:r>
          </w:p>
          <w:p w:rsidR="00D12377" w:rsidRPr="009C56A7" w:rsidRDefault="006A523A" w:rsidP="006A523A">
            <w:pPr>
              <w:tabs>
                <w:tab w:val="left" w:pos="8820"/>
              </w:tabs>
              <w:ind w:left="601"/>
              <w:rPr>
                <w:rFonts w:cs="EUAlbertina"/>
                <w:sz w:val="18"/>
              </w:rPr>
            </w:pPr>
            <w:r>
              <w:rPr>
                <w:sz w:val="18"/>
              </w:rPr>
              <w:t>Treba prísne dodržiavať etiketu - návod na použitie prostriedku na ochranu rastlín.</w:t>
            </w:r>
          </w:p>
        </w:tc>
      </w:tr>
    </w:tbl>
    <w:p w:rsidR="00D12377" w:rsidRPr="009C56A7" w:rsidRDefault="00D12377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F3701C">
        <w:tc>
          <w:tcPr>
            <w:tcW w:w="10490" w:type="dxa"/>
            <w:shd w:val="clear" w:color="auto" w:fill="auto"/>
          </w:tcPr>
          <w:p w:rsidR="00F66EAD" w:rsidRPr="009C56A7" w:rsidRDefault="00F66EAD" w:rsidP="00793A70">
            <w:pPr>
              <w:pStyle w:val="CWHead"/>
              <w:keepNext/>
              <w:keepLines/>
              <w:tabs>
                <w:tab w:val="left" w:pos="11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8. </w:t>
            </w:r>
            <w:r>
              <w:tab/>
            </w:r>
            <w:r>
              <w:rPr>
                <w:rFonts w:ascii="Arial" w:hAnsi="Arial"/>
                <w:sz w:val="22"/>
              </w:rPr>
              <w:t>KONTROLA EXPOZÍCIE/PROSTRIEDKY OSOBNEJ OCHRANY</w:t>
            </w:r>
          </w:p>
        </w:tc>
      </w:tr>
      <w:tr w:rsidR="009C56A7" w:rsidRPr="0024387E" w:rsidTr="00F3701C">
        <w:tc>
          <w:tcPr>
            <w:tcW w:w="10490" w:type="dxa"/>
            <w:shd w:val="clear" w:color="auto" w:fill="auto"/>
          </w:tcPr>
          <w:p w:rsidR="00DA489A" w:rsidRPr="009C56A7" w:rsidRDefault="00F66EAD" w:rsidP="00E75F40">
            <w:pPr>
              <w:numPr>
                <w:ilvl w:val="12"/>
                <w:numId w:val="0"/>
              </w:numPr>
              <w:tabs>
                <w:tab w:val="left" w:pos="601"/>
              </w:tabs>
              <w:spacing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8.1. </w:t>
            </w:r>
            <w:r>
              <w:tab/>
            </w:r>
            <w:r>
              <w:rPr>
                <w:b/>
                <w:sz w:val="18"/>
              </w:rPr>
              <w:t>Kontrolné parametre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  <w:r>
              <w:rPr>
                <w:sz w:val="18"/>
                <w:u w:val="single"/>
              </w:rPr>
              <w:t>Najvyššie prípustný expozičný limit priemerný (NPEL) a Najvyššie prípustný expozičný limit krátkodobý (NPELk) zložiek zmesi: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</w:rPr>
              <w:t>[Nariadenie ministerstva práce a sociálnej politiky z dňa 29. novembra 2002 o najvyššie prípustných expozičných limitoch intenzitách škodlivých faktorov v pracovnom prostr</w:t>
            </w:r>
            <w:r w:rsidR="00256B1F">
              <w:rPr>
                <w:sz w:val="16"/>
              </w:rPr>
              <w:t>e</w:t>
            </w:r>
            <w:r>
              <w:rPr>
                <w:sz w:val="16"/>
              </w:rPr>
              <w:t>dí (</w:t>
            </w:r>
            <w:proofErr w:type="spellStart"/>
            <w:r>
              <w:rPr>
                <w:sz w:val="16"/>
              </w:rPr>
              <w:t>Úr</w:t>
            </w:r>
            <w:proofErr w:type="spellEnd"/>
            <w:r>
              <w:rPr>
                <w:sz w:val="16"/>
              </w:rPr>
              <w:t>. v. 2002 č. 217, poz. 1833), v znení neskorších zmien]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</w:rPr>
            </w:pP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neuvádza sa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jc w:val="both"/>
              <w:rPr>
                <w:rFonts w:cs="Arial"/>
                <w:bCs/>
                <w:sz w:val="18"/>
                <w:u w:val="single"/>
              </w:rPr>
            </w:pPr>
            <w:r>
              <w:rPr>
                <w:sz w:val="18"/>
                <w:u w:val="single"/>
              </w:rPr>
              <w:t>Najvyššie prípustná expozičné limity zložiek zmesi uvedené výrobcom:</w:t>
            </w:r>
          </w:p>
          <w:p w:rsidR="001003A5" w:rsidRPr="009C56A7" w:rsidRDefault="001003A5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rFonts w:cs="Arial"/>
                <w:bCs/>
                <w:sz w:val="18"/>
              </w:rPr>
            </w:pPr>
            <w:r>
              <w:tab/>
            </w:r>
            <w:r w:rsidR="00616925">
              <w:rPr>
                <w:sz w:val="18"/>
              </w:rPr>
              <w:t>Acetamiprid</w:t>
            </w:r>
            <w:r>
              <w:rPr>
                <w:sz w:val="18"/>
              </w:rPr>
              <w:t xml:space="preserve"> 8 h TWA: neuvádza sa</w:t>
            </w:r>
          </w:p>
          <w:p w:rsidR="00F66EAD" w:rsidRDefault="00DA489A" w:rsidP="001003A5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8.2. </w:t>
            </w:r>
            <w:r>
              <w:tab/>
            </w:r>
            <w:r>
              <w:rPr>
                <w:b/>
                <w:sz w:val="18"/>
              </w:rPr>
              <w:t>Kontrola expozície</w:t>
            </w:r>
          </w:p>
          <w:p w:rsidR="00C33D96" w:rsidRDefault="0036508A" w:rsidP="00C33D96">
            <w:pPr>
              <w:rPr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           </w:t>
            </w:r>
            <w:r w:rsidR="00C33D96" w:rsidRPr="00C33D96">
              <w:rPr>
                <w:sz w:val="18"/>
              </w:rPr>
              <w:t>Vyžadovaná úroveň ochrany a druh kontroly sa líšia v závislosti od podmienok potenciálnej expozície. Kontrolné metódy</w:t>
            </w:r>
          </w:p>
          <w:p w:rsidR="00C33D96" w:rsidRPr="00C33D96" w:rsidRDefault="00C33D96" w:rsidP="00C33D96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Pr="00C33D96">
              <w:rPr>
                <w:sz w:val="18"/>
              </w:rPr>
              <w:t>je potrebné zvoliť v súvislosti s hodnotením rizík miestnych podmienok.</w:t>
            </w:r>
            <w:r>
              <w:rPr>
                <w:sz w:val="18"/>
              </w:rPr>
              <w:t xml:space="preserve"> </w:t>
            </w:r>
          </w:p>
          <w:p w:rsidR="001E6044" w:rsidRPr="00C33D96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sz w:val="18"/>
              </w:rPr>
            </w:pPr>
            <w:r w:rsidRPr="00C33D96">
              <w:rPr>
                <w:sz w:val="18"/>
              </w:rPr>
              <w:t xml:space="preserve">Ochrana očí alebo tváre: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Používajte ochranné okuliare alebo celotvárový štít (podľa normy EN 166).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 xml:space="preserve">Ochrana pokožky: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>
              <w:rPr>
                <w:i/>
                <w:sz w:val="18"/>
              </w:rPr>
              <w:t xml:space="preserve">Ochrana rúk: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Pri používaní prostriedku v rámci odbornej hospodárskej činnosti, za predpokladu častej alebo dlhodobej expozície, používajte prostriedky na ochranu rúk, vhodné pre dané pracovné podmienky. Za týmto účelom používajte ochranné rukavice vyrobené napr. z butylového kaučuku (hrúbka &gt;= 0,36 mm, doba prieniku &gt; 480 min), nitrylového kaučuku (hrúbka &gt;= 0,38 mm, doba prieniku &gt; 480 min.), neoprénu (hrúbka &gt;= 0,65 mm, doba prieniku &gt; 240 min), v zmysle normy EN-PN 374:2005.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Materiál, z ktorého sú rukavice vyrobené: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lastRenderedPageBreak/>
              <w:t xml:space="preserve">Výber vhodných rukavíc nezávisí len od materiálu, ale aj od značky a kvality, ktoré vyplývajú z rozdielov medzi výrobcami. Odolnosť materiálu, z ktorého sú rukavice vyrobené môže byť určená na základe uskutočnených testov. Presná doba zničenia rukavíc musí byť určená výrobcom.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i/>
                <w:sz w:val="18"/>
                <w:u w:val="single"/>
              </w:rPr>
              <w:t xml:space="preserve">Iné: </w:t>
            </w:r>
          </w:p>
          <w:p w:rsidR="00C33D96" w:rsidRPr="00C33D96" w:rsidRDefault="00C33D96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sz w:val="18"/>
              </w:rPr>
            </w:pPr>
            <w:r w:rsidRPr="00C33D96">
              <w:rPr>
                <w:sz w:val="18"/>
              </w:rPr>
              <w:t>Prostriedky na ochranu tela je potrebné zvoliť v závislosti od vykonávaných činností a možného pôsobenia, napr. ochranný plášť, ochranná obuv, odev odolný voči pôsobeniu chemikálií (v súlade s EN 14605).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b/>
                <w:i/>
                <w:sz w:val="18"/>
                <w:u w:val="single"/>
              </w:rPr>
              <w:t xml:space="preserve">Ochrana dýchacích ciest: 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sz w:val="18"/>
              </w:rPr>
              <w:t xml:space="preserve">Nevdychujte výpary produktu. V prípade nebezpečenstva vdýchnutia koncentrovaného prachu alebo výparov roztoku prípravku používajte osobné ochranné prostriedky na ochranu dýchacích ciest </w:t>
            </w:r>
            <w:r w:rsidR="0036508A">
              <w:rPr>
                <w:sz w:val="18"/>
              </w:rPr>
              <w:t>např. EN 143 lub 149, Typ P2 l FFP2</w:t>
            </w:r>
            <w:r w:rsidR="0036508A" w:rsidRPr="0036508A">
              <w:rPr>
                <w:sz w:val="18"/>
              </w:rPr>
              <w:t>.</w:t>
            </w:r>
          </w:p>
          <w:p w:rsidR="001E6044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Tepelná nebezpečnosť: </w:t>
            </w:r>
          </w:p>
          <w:p w:rsidR="006E08B9" w:rsidRPr="009C56A7" w:rsidRDefault="001E6044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Nevzťahuje sa. </w:t>
            </w:r>
          </w:p>
          <w:p w:rsidR="006E08B9" w:rsidRPr="009C56A7" w:rsidRDefault="006E08B9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Cs/>
                <w:sz w:val="18"/>
              </w:rPr>
            </w:pPr>
          </w:p>
          <w:p w:rsidR="00901D22" w:rsidRPr="009C56A7" w:rsidRDefault="00901D22" w:rsidP="001E6044">
            <w:pPr>
              <w:numPr>
                <w:ilvl w:val="12"/>
                <w:numId w:val="0"/>
              </w:numPr>
              <w:tabs>
                <w:tab w:val="left" w:pos="601"/>
              </w:tabs>
              <w:spacing w:before="60" w:after="60"/>
              <w:ind w:left="601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>Kontroly environmentálnej expozície</w:t>
            </w:r>
          </w:p>
          <w:p w:rsidR="00F66EAD" w:rsidRPr="009C56A7" w:rsidRDefault="006E08B9" w:rsidP="00B363EF">
            <w:pPr>
              <w:numPr>
                <w:ilvl w:val="12"/>
                <w:numId w:val="0"/>
              </w:numPr>
              <w:tabs>
                <w:tab w:val="left" w:pos="601"/>
              </w:tabs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Zabráňte únikom do životného prostredia, kanalizácie alebo do vodných tokov.</w:t>
            </w:r>
          </w:p>
        </w:tc>
      </w:tr>
    </w:tbl>
    <w:p w:rsidR="00F66EAD" w:rsidRPr="009C56A7" w:rsidRDefault="00F66EAD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712"/>
        <w:gridCol w:w="850"/>
      </w:tblGrid>
      <w:tr w:rsidR="009C56A7" w:rsidRPr="0024387E" w:rsidTr="004D4F9C">
        <w:tc>
          <w:tcPr>
            <w:tcW w:w="10490" w:type="dxa"/>
            <w:gridSpan w:val="4"/>
          </w:tcPr>
          <w:p w:rsidR="00B363EF" w:rsidRPr="009C56A7" w:rsidRDefault="00B363EF" w:rsidP="00793A70">
            <w:pPr>
              <w:pStyle w:val="CWHead"/>
              <w:keepNext/>
              <w:keepLines/>
              <w:tabs>
                <w:tab w:val="left" w:pos="1168"/>
                <w:tab w:val="left" w:pos="62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9. </w:t>
            </w:r>
            <w:r>
              <w:tab/>
            </w:r>
            <w:r>
              <w:rPr>
                <w:rFonts w:ascii="Arial" w:hAnsi="Arial"/>
                <w:sz w:val="22"/>
              </w:rPr>
              <w:t>FYZIKÁLNE A CHEMICKÉ VLASTNOSTI</w:t>
            </w:r>
          </w:p>
        </w:tc>
      </w:tr>
      <w:tr w:rsidR="009C56A7" w:rsidRPr="0024387E" w:rsidTr="004D4F9C">
        <w:tc>
          <w:tcPr>
            <w:tcW w:w="10490" w:type="dxa"/>
            <w:gridSpan w:val="4"/>
          </w:tcPr>
          <w:p w:rsidR="00B363EF" w:rsidRPr="009C56A7" w:rsidRDefault="00B363EF" w:rsidP="00E75F40">
            <w:pPr>
              <w:pStyle w:val="Hlavika"/>
              <w:keepLines/>
              <w:tabs>
                <w:tab w:val="left" w:pos="601"/>
              </w:tabs>
              <w:spacing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9.1. </w:t>
            </w:r>
            <w:r>
              <w:tab/>
            </w:r>
            <w:r>
              <w:rPr>
                <w:b/>
                <w:sz w:val="18"/>
              </w:rPr>
              <w:t>Informácie týkajúce sa základných fyzikálnych a chemických vlastností</w:t>
            </w:r>
          </w:p>
        </w:tc>
      </w:tr>
      <w:tr w:rsidR="009C56A7" w:rsidRPr="0024387E" w:rsidTr="004D4F9C">
        <w:trPr>
          <w:gridBefore w:val="1"/>
          <w:gridAfter w:val="1"/>
          <w:wBefore w:w="959" w:type="dxa"/>
          <w:wAfter w:w="850" w:type="dxa"/>
          <w:trHeight w:val="12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Vzhľad: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4D4F9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číra, homogénna kvapalina farby slamy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Zápach: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charakteristický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Prahová hodnota zápachu: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rFonts w:eastAsiaTheme="minorHAnsi"/>
                <w:i/>
                <w:snapToGrid/>
                <w:sz w:val="18"/>
              </w:rPr>
              <w:t>údaj nie je k dispozícii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pH 1% vodného roztoku: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C7317E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 w:rsidRPr="00C7317E">
              <w:rPr>
                <w:sz w:val="18"/>
              </w:rPr>
              <w:t>4,88 - 4,94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Teplota topenia/tuhnutia: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údaj nie je k dispozícii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Počiatočná teplota varu a destilačný rozsah: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C7317E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C7317E">
              <w:rPr>
                <w:i/>
                <w:sz w:val="18"/>
              </w:rPr>
              <w:t>74 °C (vriacej)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Bod vzplanutia: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083E34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82,0°C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rýchlosť odparovania: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C7317E" w:rsidRDefault="00C7317E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C7317E">
              <w:rPr>
                <w:rFonts w:eastAsiaTheme="minorHAnsi"/>
                <w:i/>
                <w:snapToGrid/>
                <w:sz w:val="18"/>
              </w:rPr>
              <w:t>nemá teplotu vznietenia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Horľavosť: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údaj nie je k dispozícii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cantSplit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Horné/dolné limity horľavosti alebo výbušnosti: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r>
              <w:rPr>
                <w:rFonts w:eastAsiaTheme="minorHAnsi" w:cs="Arial"/>
                <w:i/>
                <w:snapToGrid/>
                <w:sz w:val="18"/>
                <w:szCs w:val="22"/>
              </w:rPr>
              <w:br/>
            </w:r>
            <w:r>
              <w:rPr>
                <w:rFonts w:eastAsiaTheme="minorHAnsi"/>
                <w:i/>
                <w:snapToGrid/>
                <w:sz w:val="18"/>
              </w:rPr>
              <w:t>nevzťahuje sa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Tlak pár: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r>
              <w:rPr>
                <w:rFonts w:eastAsiaTheme="minorHAnsi"/>
                <w:i/>
                <w:snapToGrid/>
                <w:sz w:val="18"/>
              </w:rPr>
              <w:t>údaj nie je k dispozícii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Hustota pár: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r>
              <w:rPr>
                <w:rFonts w:eastAsiaTheme="minorHAnsi"/>
                <w:i/>
                <w:snapToGrid/>
                <w:sz w:val="18"/>
              </w:rPr>
              <w:t>údaj nie je k dispozícii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Relatívna hustota: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C7317E" w:rsidP="00E2031A">
            <w:pPr>
              <w:spacing w:before="20" w:after="20"/>
              <w:rPr>
                <w:sz w:val="18"/>
              </w:rPr>
            </w:pPr>
            <w:r w:rsidRPr="00C7317E">
              <w:rPr>
                <w:sz w:val="18"/>
              </w:rPr>
              <w:t>1,064 g/l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Rozpustnosť: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083E34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</w:rPr>
            </w:pPr>
            <w:r>
              <w:rPr>
                <w:sz w:val="18"/>
              </w:rPr>
              <w:t>tvorí emulziu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Rozdeľovací koeficient n-oktanol / voda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r>
              <w:rPr>
                <w:rFonts w:eastAsiaTheme="minorHAnsi"/>
                <w:i/>
                <w:snapToGrid/>
                <w:sz w:val="18"/>
              </w:rPr>
              <w:t xml:space="preserve">údaj nie je k dispozícii 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tabs>
                <w:tab w:val="left" w:pos="2640"/>
              </w:tabs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Teplota samovznietenia:</w:t>
            </w:r>
            <w:r>
              <w:tab/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3D6F98" w:rsidP="00E2031A">
            <w:r>
              <w:rPr>
                <w:rFonts w:eastAsiaTheme="minorHAnsi"/>
                <w:i/>
                <w:snapToGrid/>
                <w:sz w:val="18"/>
              </w:rPr>
              <w:t>475</w:t>
            </w:r>
            <w:r w:rsidR="00083E34">
              <w:rPr>
                <w:rFonts w:eastAsiaTheme="minorHAnsi"/>
                <w:i/>
                <w:snapToGrid/>
                <w:sz w:val="18"/>
              </w:rPr>
              <w:t xml:space="preserve"> °C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Teplota rozkladu: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r>
              <w:rPr>
                <w:rFonts w:eastAsiaTheme="minorHAnsi"/>
                <w:i/>
                <w:snapToGrid/>
                <w:sz w:val="18"/>
              </w:rPr>
              <w:t>údaj nie je k dispozícii</w:t>
            </w:r>
          </w:p>
        </w:tc>
      </w:tr>
      <w:tr w:rsidR="009C56A7" w:rsidRPr="0024387E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Viskozita: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3D6F98" w:rsidRPr="001F44E4" w:rsidRDefault="003D6F98" w:rsidP="003D6F98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</w:pPr>
            <w:r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>pri</w:t>
            </w:r>
            <w:r w:rsidRPr="001F44E4"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 xml:space="preserve"> 20 ºC:</w:t>
            </w:r>
          </w:p>
          <w:p w:rsidR="003D6F98" w:rsidRPr="001F44E4" w:rsidRDefault="003D6F98" w:rsidP="003D6F98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</w:pPr>
            <w:r w:rsidRPr="001F44E4"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>5,00 s-1 858 mPa·s,</w:t>
            </w:r>
          </w:p>
          <w:p w:rsidR="003D6F98" w:rsidRPr="001F44E4" w:rsidRDefault="003D6F98" w:rsidP="003D6F98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</w:pPr>
            <w:r w:rsidRPr="001F44E4"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>10,00 s-1 538 mPa·s,</w:t>
            </w:r>
          </w:p>
          <w:p w:rsidR="003D6F98" w:rsidRPr="001F44E4" w:rsidRDefault="003D6F98" w:rsidP="003D6F98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</w:pPr>
            <w:r w:rsidRPr="001F44E4"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>25,00 s-1 292 mPa·s,</w:t>
            </w:r>
          </w:p>
          <w:p w:rsidR="004D4F9C" w:rsidRPr="009C56A7" w:rsidRDefault="003D6F98" w:rsidP="003D6F98">
            <w:pPr>
              <w:autoSpaceDE w:val="0"/>
              <w:autoSpaceDN w:val="0"/>
              <w:adjustRightInd w:val="0"/>
              <w:spacing w:before="20" w:after="20"/>
              <w:rPr>
                <w:rFonts w:eastAsiaTheme="minorHAnsi" w:cs="Arial"/>
                <w:i/>
                <w:snapToGrid/>
                <w:sz w:val="18"/>
                <w:szCs w:val="22"/>
              </w:rPr>
            </w:pPr>
            <w:r w:rsidRPr="001F44E4">
              <w:rPr>
                <w:rFonts w:eastAsiaTheme="minorHAnsi" w:cs="Arial"/>
                <w:snapToGrid/>
                <w:sz w:val="18"/>
                <w:szCs w:val="22"/>
                <w:lang w:val="pl-PL" w:eastAsia="en-US"/>
              </w:rPr>
              <w:t>50,00 s-1 185 mPa·s.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Výbušné vlastnosti: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083E34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>
              <w:rPr>
                <w:i/>
                <w:sz w:val="18"/>
              </w:rPr>
              <w:t>nemá</w:t>
            </w:r>
          </w:p>
        </w:tc>
      </w:tr>
      <w:tr w:rsidR="009C56A7" w:rsidRPr="009C56A7" w:rsidTr="004D4F9C">
        <w:trPr>
          <w:gridBefore w:val="1"/>
          <w:gridAfter w:val="1"/>
          <w:wBefore w:w="959" w:type="dxa"/>
          <w:wAfter w:w="850" w:type="dxa"/>
          <w:trHeight w:val="12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4D4F9C" w:rsidP="00E2031A">
            <w:pPr>
              <w:autoSpaceDE w:val="0"/>
              <w:autoSpaceDN w:val="0"/>
              <w:adjustRightInd w:val="0"/>
              <w:spacing w:before="20" w:after="20"/>
              <w:ind w:left="34"/>
              <w:rPr>
                <w:rFonts w:cs="Arial"/>
                <w:sz w:val="18"/>
              </w:rPr>
            </w:pPr>
            <w:r>
              <w:rPr>
                <w:sz w:val="18"/>
              </w:rPr>
              <w:t>Oxidačné vlastnosti: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4D4F9C" w:rsidRPr="009C56A7" w:rsidRDefault="003D6F98" w:rsidP="00E2031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18"/>
              </w:rPr>
            </w:pPr>
            <w:r w:rsidRPr="003D6F98">
              <w:rPr>
                <w:i/>
                <w:sz w:val="18"/>
              </w:rPr>
              <w:t>nemá</w:t>
            </w:r>
          </w:p>
        </w:tc>
      </w:tr>
      <w:tr w:rsidR="009C56A7" w:rsidRPr="0024387E" w:rsidTr="004D4F9C">
        <w:trPr>
          <w:trHeight w:val="123"/>
        </w:trPr>
        <w:tc>
          <w:tcPr>
            <w:tcW w:w="10490" w:type="dxa"/>
            <w:gridSpan w:val="4"/>
          </w:tcPr>
          <w:p w:rsidR="002A603E" w:rsidRPr="009C56A7" w:rsidRDefault="002A603E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9.2. </w:t>
            </w:r>
            <w:r>
              <w:tab/>
            </w:r>
            <w:r>
              <w:rPr>
                <w:b/>
                <w:sz w:val="18"/>
              </w:rPr>
              <w:t>Iné informácie</w:t>
            </w:r>
          </w:p>
          <w:p w:rsidR="002A603E" w:rsidRPr="009C56A7" w:rsidRDefault="002A603E" w:rsidP="003D6F98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tab/>
            </w:r>
            <w:r>
              <w:rPr>
                <w:sz w:val="18"/>
              </w:rPr>
              <w:t xml:space="preserve">Povrchové napätie = </w:t>
            </w:r>
            <w:r w:rsidR="003D6F98">
              <w:rPr>
                <w:sz w:val="18"/>
              </w:rPr>
              <w:t>25,8</w:t>
            </w:r>
            <w:r>
              <w:rPr>
                <w:sz w:val="18"/>
              </w:rPr>
              <w:t xml:space="preserve"> mN/m</w:t>
            </w:r>
          </w:p>
        </w:tc>
      </w:tr>
    </w:tbl>
    <w:p w:rsidR="004E187A" w:rsidRPr="009C56A7" w:rsidRDefault="004E187A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57020B">
        <w:tc>
          <w:tcPr>
            <w:tcW w:w="10490" w:type="dxa"/>
          </w:tcPr>
          <w:p w:rsidR="002A603E" w:rsidRPr="009C56A7" w:rsidRDefault="002A603E" w:rsidP="002A603E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10. </w:t>
            </w:r>
            <w:r>
              <w:tab/>
            </w:r>
            <w:r>
              <w:rPr>
                <w:rFonts w:ascii="Arial" w:hAnsi="Arial"/>
                <w:sz w:val="22"/>
              </w:rPr>
              <w:t>STABILITA A REAKTIVITA</w:t>
            </w:r>
          </w:p>
        </w:tc>
      </w:tr>
      <w:tr w:rsidR="009C56A7" w:rsidRPr="0024387E" w:rsidTr="0057020B">
        <w:trPr>
          <w:trHeight w:val="267"/>
        </w:trPr>
        <w:tc>
          <w:tcPr>
            <w:tcW w:w="10490" w:type="dxa"/>
          </w:tcPr>
          <w:p w:rsidR="00613DAD" w:rsidRPr="009C56A7" w:rsidRDefault="002A603E" w:rsidP="00E75F40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10.1. </w:t>
            </w:r>
            <w:r>
              <w:tab/>
            </w:r>
            <w:r>
              <w:rPr>
                <w:b/>
                <w:sz w:val="18"/>
              </w:rPr>
              <w:t>Reaktivita</w:t>
            </w:r>
          </w:p>
          <w:p w:rsidR="00613DAD" w:rsidRPr="009C56A7" w:rsidRDefault="00AD6348" w:rsidP="00A70F8C">
            <w:pPr>
              <w:tabs>
                <w:tab w:val="left" w:pos="606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 w:rsidRPr="00AD6348">
              <w:rPr>
                <w:sz w:val="18"/>
              </w:rPr>
              <w:t>Žiadna reaktivita pri normálnych podmienkach používania a skladovania.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10.2. </w:t>
            </w:r>
            <w:r>
              <w:tab/>
            </w:r>
            <w:r>
              <w:rPr>
                <w:b/>
                <w:sz w:val="18"/>
              </w:rPr>
              <w:t>Chemická stabilita</w:t>
            </w:r>
          </w:p>
          <w:p w:rsidR="00613DAD" w:rsidRPr="009C56A7" w:rsidRDefault="00613DAD" w:rsidP="00A70F8C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Látka stabilná pri normálnych podmienkach používania, prepravy a skladovania.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10.3. </w:t>
            </w:r>
            <w:r>
              <w:tab/>
            </w:r>
            <w:r>
              <w:rPr>
                <w:b/>
                <w:sz w:val="18"/>
              </w:rPr>
              <w:t>Možnosť vzniku nebezpečných reakcií</w:t>
            </w:r>
          </w:p>
          <w:p w:rsidR="00613DAD" w:rsidRPr="009C56A7" w:rsidRDefault="006E08B9" w:rsidP="00A70F8C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Môže reagovať so silnými oxidačnými činidlami.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10.4. </w:t>
            </w:r>
            <w:r>
              <w:tab/>
            </w:r>
            <w:r>
              <w:rPr>
                <w:b/>
                <w:sz w:val="18"/>
              </w:rPr>
              <w:t>Podmienky, ktorým sa treba vyhýbať</w:t>
            </w:r>
          </w:p>
          <w:p w:rsidR="00FD1BD9" w:rsidRPr="009C56A7" w:rsidRDefault="00FD1BD9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            Vyhýbajte sa účinkom vysokých teplôt, horúcim povrchom, otvorenému ohňu a priamym slnečným lúčom. 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10.5. </w:t>
            </w:r>
            <w:r>
              <w:tab/>
            </w:r>
            <w:r>
              <w:rPr>
                <w:b/>
                <w:sz w:val="18"/>
              </w:rPr>
              <w:t>Nekompatibilné materiály</w:t>
            </w:r>
          </w:p>
          <w:p w:rsidR="00613DAD" w:rsidRPr="009C56A7" w:rsidRDefault="00D32678" w:rsidP="00A70F8C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Používať len v súlade s nálepkou - návodom na obsluhu. Použitie v zmesiach s neodporúčanými produktami je zakázané.</w:t>
            </w:r>
          </w:p>
          <w:p w:rsidR="002A603E" w:rsidRPr="009C56A7" w:rsidRDefault="002A603E" w:rsidP="00E75F40">
            <w:pPr>
              <w:tabs>
                <w:tab w:val="left" w:pos="601"/>
                <w:tab w:val="left" w:pos="882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10.6. </w:t>
            </w:r>
            <w:r>
              <w:tab/>
            </w:r>
            <w:r>
              <w:rPr>
                <w:b/>
                <w:sz w:val="18"/>
              </w:rPr>
              <w:t>Nebezpečné produkty rozkladu</w:t>
            </w:r>
          </w:p>
          <w:p w:rsidR="00793A70" w:rsidRPr="009C56A7" w:rsidRDefault="00FD1BD9" w:rsidP="00A70F8C">
            <w:pPr>
              <w:tabs>
                <w:tab w:val="left" w:pos="88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Toxické výpary v prípade tepelného rozkladu - oxidy uhlíka, oxidy dusíka, zlúčeniny chlóru.</w:t>
            </w:r>
          </w:p>
        </w:tc>
      </w:tr>
    </w:tbl>
    <w:p w:rsidR="00793A70" w:rsidRPr="009C56A7" w:rsidRDefault="00793A70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9639"/>
        <w:gridCol w:w="283"/>
      </w:tblGrid>
      <w:tr w:rsidR="009C56A7" w:rsidRPr="009C56A7" w:rsidTr="004502CD">
        <w:tc>
          <w:tcPr>
            <w:tcW w:w="10490" w:type="dxa"/>
            <w:gridSpan w:val="3"/>
          </w:tcPr>
          <w:p w:rsidR="00A70F8C" w:rsidRPr="009C56A7" w:rsidRDefault="00A70F8C" w:rsidP="00A70F8C">
            <w:pPr>
              <w:pStyle w:val="CWHead"/>
              <w:keepNext/>
              <w:keepLines/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11. </w:t>
            </w:r>
            <w:r>
              <w:tab/>
            </w:r>
            <w:r>
              <w:rPr>
                <w:rFonts w:ascii="Arial" w:hAnsi="Arial"/>
                <w:sz w:val="22"/>
              </w:rPr>
              <w:t>TOXIKOLOGICKÉ INFORMÁCIE</w:t>
            </w:r>
          </w:p>
        </w:tc>
      </w:tr>
      <w:tr w:rsidR="009C56A7" w:rsidRPr="0024387E" w:rsidTr="004502CD">
        <w:trPr>
          <w:cantSplit/>
        </w:trPr>
        <w:tc>
          <w:tcPr>
            <w:tcW w:w="10490" w:type="dxa"/>
            <w:gridSpan w:val="3"/>
          </w:tcPr>
          <w:p w:rsidR="00A70F8C" w:rsidRPr="009C56A7" w:rsidRDefault="00A70F8C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11.1. </w:t>
            </w:r>
            <w:r>
              <w:tab/>
            </w:r>
            <w:r>
              <w:rPr>
                <w:b/>
                <w:sz w:val="18"/>
              </w:rPr>
              <w:t>Informácie týkajúce sa toxikologických následkov</w:t>
            </w:r>
          </w:p>
          <w:p w:rsidR="001C4ADA" w:rsidRPr="009C56A7" w:rsidRDefault="001C4ADA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u w:val="single"/>
              </w:rPr>
            </w:pPr>
            <w:r>
              <w:tab/>
            </w:r>
            <w:r>
              <w:rPr>
                <w:sz w:val="18"/>
                <w:u w:val="single"/>
              </w:rPr>
              <w:t>Údaje o zmesi</w:t>
            </w:r>
            <w:r>
              <w:rPr>
                <w:sz w:val="18"/>
              </w:rPr>
              <w:t>:</w:t>
            </w:r>
          </w:p>
        </w:tc>
      </w:tr>
      <w:tr w:rsidR="009C56A7" w:rsidRPr="0024387E" w:rsidTr="004502CD">
        <w:trPr>
          <w:gridBefore w:val="1"/>
          <w:wBefore w:w="568" w:type="dxa"/>
          <w:trHeight w:val="2198"/>
        </w:trPr>
        <w:tc>
          <w:tcPr>
            <w:tcW w:w="9639" w:type="dxa"/>
          </w:tcPr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Akútna toxicita: 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  - orálna (p</w:t>
            </w:r>
            <w:r w:rsidR="00FF251B">
              <w:rPr>
                <w:sz w:val="18"/>
              </w:rPr>
              <w:t>otkan):                LD50 &gt; 3</w:t>
            </w:r>
            <w:r>
              <w:rPr>
                <w:sz w:val="18"/>
              </w:rPr>
              <w:t>00 mg/kg telesnej hmotnosti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  - dermálna (potkan):           LD50 &gt; 2000 mg/kg telesnej hmotnosti</w:t>
            </w:r>
          </w:p>
          <w:p w:rsidR="00083E34" w:rsidRPr="009C56A7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Dráždivosť: 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 - očná (králik):                 </w:t>
            </w:r>
            <w:r w:rsidR="00FF251B" w:rsidRPr="00FF251B">
              <w:rPr>
                <w:sz w:val="18"/>
              </w:rPr>
              <w:t xml:space="preserve">nedráždi oči </w:t>
            </w:r>
            <w:r>
              <w:rPr>
                <w:sz w:val="18"/>
              </w:rPr>
              <w:t xml:space="preserve">(podľa kritérií Nariadenia 1272/2008/ES – </w:t>
            </w:r>
            <w:r w:rsidR="00FF251B" w:rsidRPr="00FF251B">
              <w:rPr>
                <w:sz w:val="18"/>
              </w:rPr>
              <w:t>žiadna klasifikácia</w:t>
            </w:r>
            <w:r w:rsidR="00E23A41">
              <w:rPr>
                <w:sz w:val="18"/>
              </w:rPr>
              <w:t>)</w:t>
            </w: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 -</w:t>
            </w:r>
            <w:r w:rsidR="00FF251B">
              <w:rPr>
                <w:sz w:val="18"/>
              </w:rPr>
              <w:t xml:space="preserve"> kožná (králik):               </w:t>
            </w:r>
            <w:r w:rsidR="00FF251B" w:rsidRPr="00FF251B">
              <w:rPr>
                <w:sz w:val="18"/>
              </w:rPr>
              <w:t xml:space="preserve">nedráždi kožu </w:t>
            </w:r>
            <w:r>
              <w:rPr>
                <w:sz w:val="18"/>
              </w:rPr>
              <w:t xml:space="preserve">(podľa kritérií Nariadenia 1272/2008/ES – </w:t>
            </w:r>
            <w:r w:rsidR="00FF251B" w:rsidRPr="00FF251B">
              <w:rPr>
                <w:sz w:val="18"/>
              </w:rPr>
              <w:t>žiadna klasifikácia</w:t>
            </w:r>
            <w:r>
              <w:rPr>
                <w:sz w:val="18"/>
              </w:rPr>
              <w:t>)</w:t>
            </w:r>
          </w:p>
          <w:p w:rsidR="00083E34" w:rsidRPr="009C56A7" w:rsidRDefault="00083E34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:rsidR="00083E34" w:rsidRPr="009C56A7" w:rsidRDefault="00FD343F" w:rsidP="00083E3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Senzibilizácia: </w:t>
            </w:r>
          </w:p>
          <w:p w:rsidR="00FD1BD9" w:rsidRPr="009C56A7" w:rsidRDefault="00FD343F" w:rsidP="00FF251B">
            <w:pPr>
              <w:tabs>
                <w:tab w:val="left" w:pos="459"/>
              </w:tabs>
              <w:autoSpaceDE w:val="0"/>
              <w:autoSpaceDN w:val="0"/>
              <w:adjustRightInd w:val="0"/>
              <w:ind w:left="493" w:hanging="493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       - pokožky (guinejské morča):  </w:t>
            </w:r>
            <w:r w:rsidR="00FF251B" w:rsidRPr="00FF251B">
              <w:rPr>
                <w:sz w:val="18"/>
              </w:rPr>
              <w:t xml:space="preserve">nespôsobuje senzibilizáciu </w:t>
            </w:r>
            <w:r>
              <w:rPr>
                <w:sz w:val="18"/>
              </w:rPr>
              <w:t>(podľa stupnice Magnussona a</w:t>
            </w:r>
            <w:r w:rsidR="00FF251B">
              <w:rPr>
                <w:sz w:val="18"/>
              </w:rPr>
              <w:t> </w:t>
            </w:r>
            <w:r>
              <w:rPr>
                <w:sz w:val="18"/>
              </w:rPr>
              <w:t>Kligmana</w:t>
            </w:r>
            <w:r w:rsidR="00FF251B">
              <w:rPr>
                <w:sz w:val="18"/>
              </w:rPr>
              <w:t xml:space="preserve"> </w:t>
            </w:r>
            <w:r w:rsidR="00FF251B" w:rsidRPr="00FF251B">
              <w:rPr>
                <w:sz w:val="18"/>
              </w:rPr>
              <w:t>– žiadna klasifikácia</w:t>
            </w:r>
            <w:r>
              <w:rPr>
                <w:sz w:val="18"/>
              </w:rPr>
              <w:t>)</w:t>
            </w:r>
          </w:p>
        </w:tc>
        <w:tc>
          <w:tcPr>
            <w:tcW w:w="283" w:type="dxa"/>
            <w:tcBorders>
              <w:right w:val="nil"/>
            </w:tcBorders>
          </w:tcPr>
          <w:p w:rsidR="00165CD8" w:rsidRPr="009C56A7" w:rsidRDefault="00165CD8" w:rsidP="0057020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</w:p>
          <w:p w:rsidR="00165CD8" w:rsidRPr="009C56A7" w:rsidRDefault="00165CD8" w:rsidP="0057020B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77E99" w:rsidRPr="009C56A7" w:rsidRDefault="00277E99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</w:rPr>
            </w:pPr>
          </w:p>
          <w:p w:rsidR="009613E1" w:rsidRPr="009C56A7" w:rsidRDefault="009613E1" w:rsidP="009613E1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</w:rPr>
            </w:pPr>
          </w:p>
          <w:p w:rsidR="00FD1BD9" w:rsidRPr="009C56A7" w:rsidRDefault="00FD1BD9" w:rsidP="0057020B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18"/>
                <w:szCs w:val="21"/>
              </w:rPr>
            </w:pPr>
          </w:p>
          <w:p w:rsidR="00FD1BD9" w:rsidRPr="009C56A7" w:rsidRDefault="00FD1BD9" w:rsidP="00FD1BD9">
            <w:pPr>
              <w:rPr>
                <w:rFonts w:eastAsiaTheme="minorHAnsi" w:cs="Arial"/>
                <w:sz w:val="18"/>
                <w:szCs w:val="21"/>
              </w:rPr>
            </w:pPr>
          </w:p>
          <w:p w:rsidR="004863DE" w:rsidRPr="009C56A7" w:rsidRDefault="00FD1BD9" w:rsidP="00FD1BD9">
            <w:pPr>
              <w:tabs>
                <w:tab w:val="left" w:pos="1372"/>
              </w:tabs>
              <w:rPr>
                <w:rFonts w:eastAsiaTheme="minorHAnsi" w:cs="Arial"/>
                <w:sz w:val="18"/>
                <w:szCs w:val="21"/>
              </w:rPr>
            </w:pPr>
            <w:r>
              <w:tab/>
            </w:r>
          </w:p>
        </w:tc>
      </w:tr>
    </w:tbl>
    <w:p w:rsidR="00A70F8C" w:rsidRDefault="00A70F8C"/>
    <w:p w:rsidR="00FF251B" w:rsidRDefault="00FF251B">
      <w:pPr>
        <w:rPr>
          <w:sz w:val="18"/>
        </w:rPr>
      </w:pPr>
      <w:r>
        <w:t xml:space="preserve">          </w:t>
      </w:r>
      <w:r w:rsidRPr="00FF251B">
        <w:t>In</w:t>
      </w:r>
      <w:r w:rsidRPr="00FF251B">
        <w:rPr>
          <w:sz w:val="18"/>
        </w:rPr>
        <w:t>halačná toxicita (pre SA) LD50</w:t>
      </w:r>
      <w:r>
        <w:rPr>
          <w:sz w:val="18"/>
        </w:rPr>
        <w:t xml:space="preserve"> &gt; 1,15 mg/</w:t>
      </w:r>
      <w:r w:rsidRPr="00FF251B">
        <w:rPr>
          <w:sz w:val="18"/>
        </w:rPr>
        <w:t>l</w:t>
      </w:r>
      <w:r>
        <w:rPr>
          <w:sz w:val="18"/>
        </w:rPr>
        <w:t xml:space="preserve"> air (potkan)</w:t>
      </w:r>
    </w:p>
    <w:p w:rsidR="00FF251B" w:rsidRDefault="00FF251B">
      <w:pPr>
        <w:rPr>
          <w:sz w:val="18"/>
        </w:rPr>
      </w:pPr>
    </w:p>
    <w:p w:rsidR="00FF251B" w:rsidRPr="00411D72" w:rsidRDefault="00FF251B" w:rsidP="00FF251B">
      <w:pPr>
        <w:tabs>
          <w:tab w:val="left" w:pos="567"/>
        </w:tabs>
        <w:spacing w:before="120" w:after="60"/>
        <w:rPr>
          <w:rFonts w:cs="Arial"/>
          <w:b/>
          <w:sz w:val="18"/>
          <w:szCs w:val="18"/>
        </w:rPr>
      </w:pPr>
      <w:r>
        <w:rPr>
          <w:sz w:val="18"/>
        </w:rPr>
        <w:t xml:space="preserve">           </w:t>
      </w:r>
      <w:r>
        <w:rPr>
          <w:b/>
          <w:sz w:val="18"/>
        </w:rPr>
        <w:t xml:space="preserve">Poleptanie / žieravosť: </w:t>
      </w:r>
      <w:r>
        <w:rPr>
          <w:sz w:val="18"/>
        </w:rPr>
        <w:t>Výrobok obsahuje látku, ktorá</w:t>
      </w:r>
      <w:r w:rsidR="002A68DE">
        <w:rPr>
          <w:sz w:val="18"/>
        </w:rPr>
        <w:t xml:space="preserve"> spôsobuje vážne poškodenie očí </w:t>
      </w:r>
      <w:r w:rsidR="002A68DE" w:rsidRPr="002A68DE">
        <w:rPr>
          <w:sz w:val="18"/>
        </w:rPr>
        <w:t>(&lt;1%).</w:t>
      </w:r>
    </w:p>
    <w:p w:rsidR="00FF251B" w:rsidRPr="00411D72" w:rsidRDefault="00FF251B" w:rsidP="00FF251B">
      <w:pPr>
        <w:tabs>
          <w:tab w:val="left" w:pos="567"/>
        </w:tabs>
        <w:spacing w:before="120" w:after="60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           Karcinogenita: </w:t>
      </w:r>
      <w:r>
        <w:rPr>
          <w:sz w:val="18"/>
        </w:rPr>
        <w:t>výrobok neobsahuje zložky s potvrdeným karcinogénnym potenciálom</w:t>
      </w:r>
      <w:r w:rsidR="002A68DE">
        <w:rPr>
          <w:sz w:val="18"/>
        </w:rPr>
        <w:t>.</w:t>
      </w:r>
    </w:p>
    <w:p w:rsidR="00FF251B" w:rsidRPr="00411D72" w:rsidRDefault="00FF251B" w:rsidP="00FF251B">
      <w:pPr>
        <w:tabs>
          <w:tab w:val="left" w:pos="567"/>
        </w:tabs>
        <w:spacing w:before="120" w:after="60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           Mutagenita</w:t>
      </w:r>
      <w:r>
        <w:rPr>
          <w:sz w:val="18"/>
        </w:rPr>
        <w:t>: výrobok neobsahuje zložky s potvrdeným mutagénnym potenciálom</w:t>
      </w:r>
      <w:r w:rsidR="002A68DE">
        <w:rPr>
          <w:sz w:val="18"/>
        </w:rPr>
        <w:t>.</w:t>
      </w:r>
    </w:p>
    <w:p w:rsidR="00FF251B" w:rsidRPr="00411D72" w:rsidRDefault="00FF251B" w:rsidP="00FF251B">
      <w:pPr>
        <w:tabs>
          <w:tab w:val="left" w:pos="567"/>
        </w:tabs>
        <w:spacing w:before="120" w:after="60"/>
        <w:rPr>
          <w:rFonts w:cs="Arial"/>
          <w:sz w:val="18"/>
          <w:szCs w:val="18"/>
        </w:rPr>
      </w:pPr>
      <w:r>
        <w:rPr>
          <w:b/>
          <w:sz w:val="18"/>
        </w:rPr>
        <w:t xml:space="preserve">           Reprodukčná toxicita</w:t>
      </w:r>
      <w:r>
        <w:rPr>
          <w:sz w:val="18"/>
        </w:rPr>
        <w:t>: výrobok neobsahuje zložky s potvrdenou reprodukčnou toxicitou</w:t>
      </w:r>
      <w:r w:rsidR="002A68DE">
        <w:rPr>
          <w:sz w:val="18"/>
        </w:rPr>
        <w:t>.</w:t>
      </w:r>
    </w:p>
    <w:p w:rsidR="00FF251B" w:rsidRPr="00411D72" w:rsidRDefault="00FF251B" w:rsidP="002A68DE">
      <w:pPr>
        <w:tabs>
          <w:tab w:val="left" w:pos="567"/>
        </w:tabs>
        <w:spacing w:before="120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 xml:space="preserve">           Toxicita pre špecifický cieľový orgán - jednorazová expozícia</w:t>
      </w:r>
    </w:p>
    <w:p w:rsidR="00FF251B" w:rsidRDefault="00FF251B" w:rsidP="002A68DE">
      <w:pPr>
        <w:tabs>
          <w:tab w:val="left" w:pos="567"/>
        </w:tabs>
        <w:spacing w:before="60"/>
        <w:rPr>
          <w:sz w:val="18"/>
        </w:rPr>
      </w:pPr>
      <w:r>
        <w:rPr>
          <w:sz w:val="18"/>
        </w:rPr>
        <w:t xml:space="preserve">           Škodlivé účinky spôsobené výrobkom sú v normálnych podmienkach používania a zaobchádzania s ním </w:t>
      </w:r>
    </w:p>
    <w:p w:rsidR="00FF251B" w:rsidRPr="00411D72" w:rsidRDefault="00FF251B" w:rsidP="002A68DE">
      <w:pPr>
        <w:tabs>
          <w:tab w:val="left" w:pos="567"/>
        </w:tabs>
        <w:spacing w:before="60"/>
        <w:rPr>
          <w:rFonts w:cs="Arial"/>
          <w:sz w:val="18"/>
          <w:szCs w:val="18"/>
        </w:rPr>
      </w:pPr>
      <w:r>
        <w:rPr>
          <w:sz w:val="18"/>
        </w:rPr>
        <w:t xml:space="preserve">           </w:t>
      </w:r>
      <w:r w:rsidRPr="00FF251B">
        <w:rPr>
          <w:sz w:val="18"/>
        </w:rPr>
        <w:t>nepravdepodobné.</w:t>
      </w:r>
    </w:p>
    <w:p w:rsidR="00FF251B" w:rsidRPr="00411D72" w:rsidRDefault="00FF251B" w:rsidP="00FF251B">
      <w:pPr>
        <w:tabs>
          <w:tab w:val="left" w:pos="567"/>
        </w:tabs>
        <w:spacing w:before="120" w:after="60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 xml:space="preserve">           Toxicita pre špecifický cieľový orgán - opakovaná expozícia</w:t>
      </w:r>
    </w:p>
    <w:p w:rsidR="00FF251B" w:rsidRDefault="00FF251B" w:rsidP="002A68DE">
      <w:pPr>
        <w:tabs>
          <w:tab w:val="left" w:pos="567"/>
        </w:tabs>
        <w:spacing w:before="60"/>
        <w:rPr>
          <w:sz w:val="18"/>
        </w:rPr>
      </w:pPr>
      <w:r>
        <w:rPr>
          <w:sz w:val="18"/>
        </w:rPr>
        <w:t xml:space="preserve">           Škodlivé účinky spôsobené výrobkom sú v normálnych podmienkach pou</w:t>
      </w:r>
      <w:r w:rsidR="002A68DE">
        <w:rPr>
          <w:sz w:val="18"/>
        </w:rPr>
        <w:t>žívania a zaobchádzania s ním</w:t>
      </w:r>
    </w:p>
    <w:p w:rsidR="002A68DE" w:rsidRPr="00411D72" w:rsidRDefault="002A68DE" w:rsidP="002A68DE">
      <w:pPr>
        <w:tabs>
          <w:tab w:val="left" w:pos="567"/>
        </w:tabs>
        <w:spacing w:before="60"/>
        <w:rPr>
          <w:rFonts w:cs="Arial"/>
          <w:b/>
          <w:sz w:val="18"/>
          <w:szCs w:val="18"/>
          <w:u w:val="single"/>
        </w:rPr>
      </w:pPr>
      <w:r>
        <w:rPr>
          <w:sz w:val="18"/>
        </w:rPr>
        <w:t xml:space="preserve">           </w:t>
      </w:r>
      <w:r w:rsidRPr="002A68DE">
        <w:rPr>
          <w:sz w:val="18"/>
        </w:rPr>
        <w:t>nepravdepodobné.</w:t>
      </w:r>
    </w:p>
    <w:p w:rsidR="00FF251B" w:rsidRPr="00411D72" w:rsidRDefault="00FF251B" w:rsidP="00FF251B">
      <w:pPr>
        <w:tabs>
          <w:tab w:val="left" w:pos="567"/>
        </w:tabs>
        <w:spacing w:before="60" w:after="60"/>
        <w:rPr>
          <w:rFonts w:cs="Arial"/>
          <w:b/>
          <w:sz w:val="18"/>
          <w:szCs w:val="18"/>
          <w:u w:val="single"/>
        </w:rPr>
      </w:pPr>
    </w:p>
    <w:p w:rsidR="00FF251B" w:rsidRPr="002A68DE" w:rsidRDefault="00FF251B" w:rsidP="00FF251B">
      <w:pPr>
        <w:tabs>
          <w:tab w:val="left" w:pos="567"/>
        </w:tabs>
        <w:spacing w:before="60" w:after="60"/>
        <w:rPr>
          <w:rFonts w:cs="Arial"/>
          <w:b/>
          <w:sz w:val="18"/>
          <w:szCs w:val="18"/>
        </w:rPr>
      </w:pPr>
      <w:r>
        <w:rPr>
          <w:b/>
          <w:sz w:val="18"/>
        </w:rPr>
        <w:t xml:space="preserve">           Informácie o pravdepodobných spôsoboch expozície - POZOR! Výrobok nie je úplne preskúmaný</w:t>
      </w:r>
    </w:p>
    <w:p w:rsidR="00FF251B" w:rsidRPr="00411D72" w:rsidRDefault="00FF251B" w:rsidP="00FF251B">
      <w:pPr>
        <w:tabs>
          <w:tab w:val="left" w:pos="567"/>
        </w:tabs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 xml:space="preserve">           Absorpcia cez pokožku:</w:t>
      </w:r>
      <w:r>
        <w:rPr>
          <w:sz w:val="18"/>
        </w:rPr>
        <w:t xml:space="preserve"> </w:t>
      </w:r>
      <w:r>
        <w:tab/>
      </w:r>
      <w:r>
        <w:rPr>
          <w:sz w:val="18"/>
        </w:rPr>
        <w:t xml:space="preserve"> môže byť škodlivý pri absorpcii cez pokožku.</w:t>
      </w:r>
    </w:p>
    <w:p w:rsidR="00FF251B" w:rsidRPr="00411D72" w:rsidRDefault="00FF251B" w:rsidP="00FF251B">
      <w:pPr>
        <w:tabs>
          <w:tab w:val="left" w:pos="567"/>
        </w:tabs>
        <w:spacing w:before="60" w:after="60"/>
        <w:rPr>
          <w:rFonts w:cs="Arial"/>
          <w:sz w:val="18"/>
          <w:szCs w:val="18"/>
        </w:rPr>
      </w:pPr>
      <w:r>
        <w:rPr>
          <w:b/>
          <w:sz w:val="18"/>
        </w:rPr>
        <w:t xml:space="preserve">           Vdýchnutie:</w:t>
      </w:r>
      <w:r>
        <w:rPr>
          <w:sz w:val="18"/>
        </w:rPr>
        <w:t xml:space="preserve"> </w:t>
      </w:r>
      <w:r>
        <w:tab/>
        <w:t xml:space="preserve">             </w:t>
      </w:r>
      <w:r w:rsidR="002A68DE">
        <w:t xml:space="preserve"> </w:t>
      </w:r>
      <w:r>
        <w:rPr>
          <w:sz w:val="18"/>
        </w:rPr>
        <w:t>môže dráždiť sliznice a horné dýchacie cesty.</w:t>
      </w:r>
    </w:p>
    <w:p w:rsidR="00FF251B" w:rsidRDefault="00FF251B" w:rsidP="00FF251B">
      <w:pPr>
        <w:rPr>
          <w:sz w:val="18"/>
        </w:rPr>
      </w:pPr>
      <w:r>
        <w:rPr>
          <w:b/>
          <w:sz w:val="18"/>
        </w:rPr>
        <w:t xml:space="preserve">           Požitie:</w:t>
      </w:r>
      <w:r>
        <w:rPr>
          <w:sz w:val="18"/>
        </w:rPr>
        <w:t xml:space="preserve"> </w:t>
      </w:r>
      <w:r>
        <w:tab/>
      </w:r>
      <w:r>
        <w:tab/>
      </w:r>
      <w:r>
        <w:tab/>
      </w:r>
      <w:r w:rsidR="002A68DE">
        <w:t xml:space="preserve"> </w:t>
      </w:r>
      <w:r>
        <w:rPr>
          <w:sz w:val="18"/>
        </w:rPr>
        <w:t>môže byť škodlivý pri požití.</w:t>
      </w:r>
    </w:p>
    <w:p w:rsidR="00982604" w:rsidRPr="009C56A7" w:rsidRDefault="00982604" w:rsidP="00FF251B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152"/>
        <w:gridCol w:w="6770"/>
      </w:tblGrid>
      <w:tr w:rsidR="009C56A7" w:rsidRPr="009C56A7" w:rsidTr="00070502">
        <w:tc>
          <w:tcPr>
            <w:tcW w:w="10490" w:type="dxa"/>
            <w:gridSpan w:val="3"/>
          </w:tcPr>
          <w:p w:rsidR="005E2BEF" w:rsidRPr="009C56A7" w:rsidRDefault="005E2BEF" w:rsidP="005E2BEF">
            <w:pPr>
              <w:pStyle w:val="CWHead"/>
              <w:keepNext/>
              <w:keepLines/>
              <w:tabs>
                <w:tab w:val="left" w:pos="12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12. </w:t>
            </w:r>
            <w:r>
              <w:tab/>
            </w:r>
            <w:r>
              <w:rPr>
                <w:rFonts w:ascii="Arial" w:hAnsi="Arial"/>
                <w:sz w:val="22"/>
              </w:rPr>
              <w:t>EKOLOGICKÉ INFORMÁCIE</w:t>
            </w:r>
          </w:p>
        </w:tc>
      </w:tr>
      <w:tr w:rsidR="009C56A7" w:rsidRPr="009C56A7" w:rsidTr="00070502">
        <w:tc>
          <w:tcPr>
            <w:tcW w:w="10490" w:type="dxa"/>
            <w:gridSpan w:val="3"/>
          </w:tcPr>
          <w:p w:rsidR="004863DE" w:rsidRPr="009C56A7" w:rsidRDefault="005E2BEF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12.1. </w:t>
            </w:r>
            <w:r>
              <w:tab/>
            </w:r>
            <w:r>
              <w:rPr>
                <w:b/>
                <w:sz w:val="18"/>
              </w:rPr>
              <w:t>Toxicita</w:t>
            </w:r>
          </w:p>
          <w:p w:rsidR="001C4ADA" w:rsidRPr="009C56A7" w:rsidRDefault="001C4ADA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8"/>
                <w:u w:val="single"/>
              </w:rPr>
            </w:pPr>
            <w:r>
              <w:tab/>
            </w:r>
            <w:r>
              <w:rPr>
                <w:sz w:val="18"/>
                <w:u w:val="single"/>
              </w:rPr>
              <w:t>Údaje o zmesi</w:t>
            </w:r>
            <w:r>
              <w:rPr>
                <w:sz w:val="18"/>
              </w:rPr>
              <w:t>:</w:t>
            </w:r>
          </w:p>
        </w:tc>
      </w:tr>
      <w:tr w:rsidR="009C56A7" w:rsidRPr="009C56A7" w:rsidTr="00982604">
        <w:trPr>
          <w:gridBefore w:val="1"/>
          <w:wBefore w:w="568" w:type="dxa"/>
        </w:trPr>
        <w:tc>
          <w:tcPr>
            <w:tcW w:w="3152" w:type="dxa"/>
          </w:tcPr>
          <w:p w:rsidR="00774599" w:rsidRPr="009C56A7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- sladkovodné ryby (Rainbow trout):</w:t>
            </w:r>
            <w:r>
              <w:rPr>
                <w:rFonts w:cs="Arial"/>
                <w:bCs/>
                <w:sz w:val="18"/>
              </w:rPr>
              <w:br/>
            </w:r>
            <w:r w:rsidR="00982604">
              <w:rPr>
                <w:sz w:val="18"/>
              </w:rPr>
              <w:t>- perloočka (Daphnia magna):</w:t>
            </w: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- riasy (</w:t>
            </w:r>
            <w:r w:rsidR="00982604" w:rsidRPr="00982604">
              <w:rPr>
                <w:sz w:val="18"/>
              </w:rPr>
              <w:t>Pseudokirchneriella sub</w:t>
            </w:r>
            <w:r>
              <w:rPr>
                <w:sz w:val="18"/>
              </w:rPr>
              <w:t xml:space="preserve">): </w:t>
            </w:r>
          </w:p>
          <w:p w:rsidR="006E2FF4" w:rsidRPr="009C56A7" w:rsidRDefault="006E2FF4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</w:p>
          <w:p w:rsidR="006E2FF4" w:rsidRPr="009C56A7" w:rsidRDefault="006E2FF4" w:rsidP="0077459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Arial"/>
                <w:bCs/>
                <w:sz w:val="18"/>
              </w:rPr>
            </w:pP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  <w:u w:val="single"/>
              </w:rPr>
            </w:pPr>
            <w:r>
              <w:rPr>
                <w:sz w:val="18"/>
                <w:u w:val="single"/>
              </w:rPr>
              <w:t>Akútna toxicita pre včely:</w:t>
            </w:r>
          </w:p>
          <w:p w:rsidR="00774599" w:rsidRPr="009C56A7" w:rsidRDefault="00774599" w:rsidP="00982604">
            <w:pPr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- orálna  </w:t>
            </w:r>
          </w:p>
          <w:p w:rsidR="00774599" w:rsidRPr="009C56A7" w:rsidRDefault="00774599" w:rsidP="00982604">
            <w:pPr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 xml:space="preserve">- kontaktná      </w:t>
            </w:r>
          </w:p>
          <w:p w:rsidR="00774599" w:rsidRPr="009C56A7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</w:p>
        </w:tc>
        <w:tc>
          <w:tcPr>
            <w:tcW w:w="6770" w:type="dxa"/>
          </w:tcPr>
          <w:p w:rsidR="00774599" w:rsidRPr="009C56A7" w:rsidRDefault="00774599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>
              <w:rPr>
                <w:rFonts w:eastAsiaTheme="minorHAnsi"/>
                <w:snapToGrid/>
                <w:sz w:val="18"/>
              </w:rPr>
              <w:t>LC</w:t>
            </w:r>
            <w:r>
              <w:rPr>
                <w:rFonts w:eastAsiaTheme="minorHAnsi"/>
                <w:snapToGrid/>
                <w:sz w:val="18"/>
                <w:vertAlign w:val="subscript"/>
              </w:rPr>
              <w:t>50</w:t>
            </w:r>
            <w:r>
              <w:rPr>
                <w:rFonts w:eastAsiaTheme="minorHAnsi"/>
                <w:snapToGrid/>
                <w:sz w:val="18"/>
              </w:rPr>
              <w:t xml:space="preserve">/96 h </w:t>
            </w:r>
            <w:r w:rsidR="00982604">
              <w:rPr>
                <w:rFonts w:eastAsiaTheme="minorHAnsi"/>
                <w:snapToGrid/>
                <w:sz w:val="18"/>
              </w:rPr>
              <w:t>&gt;100 mg/L</w:t>
            </w:r>
            <w:r>
              <w:rPr>
                <w:rFonts w:eastAsiaTheme="minorHAnsi" w:cs="Arial"/>
                <w:snapToGrid/>
                <w:sz w:val="18"/>
              </w:rPr>
              <w:br/>
            </w:r>
            <w:r>
              <w:rPr>
                <w:rFonts w:eastAsiaTheme="minorHAnsi"/>
                <w:snapToGrid/>
                <w:sz w:val="18"/>
              </w:rPr>
              <w:t xml:space="preserve">EC50/48 h </w:t>
            </w:r>
            <w:r w:rsidR="00982604">
              <w:rPr>
                <w:rFonts w:eastAsiaTheme="minorHAnsi"/>
                <w:snapToGrid/>
                <w:sz w:val="18"/>
              </w:rPr>
              <w:t>&gt;100 mg/L</w:t>
            </w:r>
          </w:p>
          <w:p w:rsidR="00774599" w:rsidRPr="007F130D" w:rsidRDefault="006E2FF4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>
              <w:rPr>
                <w:rFonts w:eastAsiaTheme="minorHAnsi"/>
                <w:snapToGrid/>
                <w:sz w:val="18"/>
              </w:rPr>
              <w:t xml:space="preserve">Yield: EyC50/72h </w:t>
            </w:r>
            <w:r w:rsidR="00982604" w:rsidRPr="00982604">
              <w:rPr>
                <w:rFonts w:eastAsiaTheme="minorHAnsi"/>
                <w:snapToGrid/>
                <w:sz w:val="18"/>
              </w:rPr>
              <w:t>&gt;100 mg/L</w:t>
            </w:r>
          </w:p>
          <w:p w:rsidR="006E2FF4" w:rsidRPr="007F130D" w:rsidRDefault="006E2FF4" w:rsidP="00774599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napToGrid/>
                <w:sz w:val="18"/>
              </w:rPr>
            </w:pPr>
            <w:r>
              <w:rPr>
                <w:rFonts w:eastAsiaTheme="minorHAnsi"/>
                <w:snapToGrid/>
                <w:sz w:val="18"/>
              </w:rPr>
              <w:t xml:space="preserve">Average Growth Rate: ErC50/72h </w:t>
            </w:r>
            <w:r w:rsidR="00982604" w:rsidRPr="00982604">
              <w:rPr>
                <w:rFonts w:eastAsiaTheme="minorHAnsi"/>
                <w:snapToGrid/>
                <w:sz w:val="18"/>
              </w:rPr>
              <w:t>&gt;100 mg/L</w:t>
            </w:r>
          </w:p>
          <w:p w:rsidR="00774599" w:rsidRPr="007F130D" w:rsidRDefault="00774599" w:rsidP="00774599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2"/>
                <w:szCs w:val="2"/>
              </w:rPr>
            </w:pPr>
          </w:p>
          <w:p w:rsidR="00774599" w:rsidRPr="009C56A7" w:rsidRDefault="00774599" w:rsidP="00774599">
            <w:pPr>
              <w:widowControl/>
              <w:autoSpaceDE w:val="0"/>
              <w:autoSpaceDN w:val="0"/>
              <w:adjustRightInd w:val="0"/>
              <w:rPr>
                <w:rFonts w:eastAsiaTheme="minorHAnsi" w:cs="Arial"/>
                <w:snapToGrid/>
                <w:sz w:val="2"/>
                <w:szCs w:val="2"/>
              </w:rPr>
            </w:pPr>
          </w:p>
          <w:p w:rsidR="00774599" w:rsidRDefault="00774599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</w:p>
          <w:p w:rsidR="00982604" w:rsidRPr="007F130D" w:rsidRDefault="00982604" w:rsidP="00774599">
            <w:pPr>
              <w:autoSpaceDE w:val="0"/>
              <w:autoSpaceDN w:val="0"/>
              <w:adjustRightInd w:val="0"/>
              <w:spacing w:after="60"/>
              <w:ind w:left="34"/>
              <w:rPr>
                <w:rFonts w:cs="Arial"/>
                <w:bCs/>
                <w:sz w:val="18"/>
              </w:rPr>
            </w:pPr>
          </w:p>
          <w:p w:rsidR="00774599" w:rsidRPr="007F130D" w:rsidRDefault="00774599" w:rsidP="00982604">
            <w:pPr>
              <w:autoSpaceDE w:val="0"/>
              <w:autoSpaceDN w:val="0"/>
              <w:adjustRightInd w:val="0"/>
              <w:ind w:left="34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LD50 &gt; 100 µg/bee</w:t>
            </w:r>
          </w:p>
          <w:p w:rsidR="00774599" w:rsidRPr="007F130D" w:rsidRDefault="00774599" w:rsidP="00982604">
            <w:pPr>
              <w:autoSpaceDE w:val="0"/>
              <w:autoSpaceDN w:val="0"/>
              <w:adjustRightInd w:val="0"/>
              <w:ind w:left="34"/>
              <w:rPr>
                <w:rFonts w:eastAsiaTheme="minorHAnsi" w:cs="Arial"/>
                <w:snapToGrid/>
                <w:sz w:val="18"/>
              </w:rPr>
            </w:pPr>
            <w:r>
              <w:rPr>
                <w:sz w:val="18"/>
              </w:rPr>
              <w:t>LD50 &gt; 100 µg/bee</w:t>
            </w:r>
          </w:p>
        </w:tc>
      </w:tr>
      <w:tr w:rsidR="009C56A7" w:rsidRPr="0024387E" w:rsidTr="001F261F">
        <w:trPr>
          <w:trHeight w:val="2471"/>
        </w:trPr>
        <w:tc>
          <w:tcPr>
            <w:tcW w:w="10490" w:type="dxa"/>
            <w:gridSpan w:val="3"/>
          </w:tcPr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12.2. </w:t>
            </w:r>
            <w:r>
              <w:tab/>
            </w:r>
            <w:r>
              <w:rPr>
                <w:b/>
                <w:sz w:val="18"/>
              </w:rPr>
              <w:t>Stabilita a odbúrateľnosť</w:t>
            </w:r>
          </w:p>
          <w:p w:rsidR="00774599" w:rsidRPr="009C56A7" w:rsidRDefault="0098260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Acetamipri</w:t>
            </w:r>
            <w:r w:rsidR="008A5321">
              <w:rPr>
                <w:sz w:val="18"/>
              </w:rPr>
              <w:t>d: DT50 = 2.6 d.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12.3. </w:t>
            </w:r>
            <w:r>
              <w:tab/>
            </w:r>
            <w:r>
              <w:rPr>
                <w:b/>
                <w:sz w:val="18"/>
              </w:rPr>
              <w:t>Bioakumulačný potenciál</w:t>
            </w:r>
          </w:p>
          <w:p w:rsidR="00982604" w:rsidRPr="00982604" w:rsidRDefault="00982604" w:rsidP="00982604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sz w:val="18"/>
              </w:rPr>
            </w:pPr>
            <w:r>
              <w:rPr>
                <w:sz w:val="18"/>
              </w:rPr>
              <w:t>Acetamipri</w:t>
            </w:r>
            <w:r w:rsidRPr="00982604">
              <w:rPr>
                <w:sz w:val="18"/>
              </w:rPr>
              <w:t>d: log Pow= 0.80 w 25°C</w:t>
            </w:r>
          </w:p>
          <w:p w:rsidR="00774599" w:rsidRPr="009C56A7" w:rsidRDefault="00982604" w:rsidP="00982604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cs="Arial"/>
                <w:bCs/>
                <w:sz w:val="18"/>
              </w:rPr>
            </w:pPr>
            <w:r w:rsidRPr="00982604">
              <w:rPr>
                <w:sz w:val="18"/>
              </w:rPr>
              <w:t>C (&gt;99%)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>12.4.</w:t>
            </w:r>
            <w:r>
              <w:tab/>
            </w:r>
            <w:r>
              <w:rPr>
                <w:b/>
                <w:sz w:val="18"/>
              </w:rPr>
              <w:t>Mobilita v pôde</w:t>
            </w:r>
          </w:p>
          <w:p w:rsidR="00774599" w:rsidRPr="009C56A7" w:rsidRDefault="0098260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Acetamipri</w:t>
            </w:r>
            <w:r w:rsidRPr="00982604">
              <w:rPr>
                <w:sz w:val="18"/>
              </w:rPr>
              <w:t>d: Koc = 106.5 mL/g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>12.5.</w:t>
            </w:r>
            <w:r>
              <w:tab/>
            </w:r>
            <w:r>
              <w:rPr>
                <w:b/>
                <w:sz w:val="18"/>
              </w:rPr>
              <w:t>Výsledky hodnotenia vlastností PBT a vPvB</w:t>
            </w:r>
          </w:p>
          <w:p w:rsidR="00774599" w:rsidRPr="009C56A7" w:rsidRDefault="006E2FF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Žiadna zo zložiek zmesi sa nenachádza na kandidátskom zozname ECHA vzhľadom na vlastnosti PBT alebo vPvB.</w:t>
            </w:r>
          </w:p>
          <w:p w:rsidR="00774599" w:rsidRPr="009C56A7" w:rsidRDefault="00774599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</w:rPr>
              <w:t xml:space="preserve">12.6. </w:t>
            </w:r>
            <w:r>
              <w:tab/>
            </w:r>
            <w:r>
              <w:rPr>
                <w:b/>
                <w:sz w:val="18"/>
              </w:rPr>
              <w:t>Iné škodlivé účinky pôsobenia</w:t>
            </w:r>
          </w:p>
          <w:p w:rsidR="00774599" w:rsidRPr="009C56A7" w:rsidRDefault="006E2FF4" w:rsidP="00774599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</w:rPr>
            </w:pPr>
            <w:r>
              <w:rPr>
                <w:sz w:val="18"/>
              </w:rPr>
              <w:t>Nie sú známe informácie poukazujúce na iné nepriaznivé účinky pôsobenia zmesi.</w:t>
            </w:r>
          </w:p>
        </w:tc>
      </w:tr>
    </w:tbl>
    <w:p w:rsidR="004863DE" w:rsidRPr="009C56A7" w:rsidRDefault="004863DE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070502">
        <w:tc>
          <w:tcPr>
            <w:tcW w:w="10490" w:type="dxa"/>
            <w:shd w:val="clear" w:color="auto" w:fill="auto"/>
          </w:tcPr>
          <w:p w:rsidR="00552729" w:rsidRPr="009C56A7" w:rsidRDefault="00552729" w:rsidP="00552729">
            <w:pPr>
              <w:pStyle w:val="CWHead"/>
              <w:keepNext/>
              <w:keepLines/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13. </w:t>
            </w:r>
            <w:r>
              <w:tab/>
            </w:r>
            <w:r>
              <w:rPr>
                <w:rFonts w:ascii="Arial" w:hAnsi="Arial"/>
                <w:sz w:val="22"/>
              </w:rPr>
              <w:t>OPATRENIA PRI ZNEŠKODŇOVANÍ ODPADOV</w:t>
            </w:r>
          </w:p>
        </w:tc>
      </w:tr>
      <w:tr w:rsidR="009C56A7" w:rsidRPr="009C56A7" w:rsidTr="00070502">
        <w:trPr>
          <w:trHeight w:val="472"/>
        </w:trPr>
        <w:tc>
          <w:tcPr>
            <w:tcW w:w="10490" w:type="dxa"/>
            <w:shd w:val="clear" w:color="auto" w:fill="auto"/>
          </w:tcPr>
          <w:p w:rsidR="00ED3E3C" w:rsidRPr="009C56A7" w:rsidRDefault="00ED3E3C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13.1. </w:t>
            </w:r>
            <w:r>
              <w:tab/>
            </w:r>
            <w:r>
              <w:rPr>
                <w:b/>
                <w:sz w:val="18"/>
              </w:rPr>
              <w:t>Metódy zneškodňovania odpadov</w:t>
            </w:r>
          </w:p>
          <w:p w:rsidR="00155AC0" w:rsidRPr="009C56A7" w:rsidRDefault="00155AC0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          </w:t>
            </w:r>
            <w:r>
              <w:rPr>
                <w:sz w:val="18"/>
                <w:u w:val="single"/>
              </w:rPr>
              <w:t>Odstraňovanie zvyškov prostriedku:</w:t>
            </w:r>
          </w:p>
          <w:p w:rsidR="001F261F" w:rsidRPr="009C56A7" w:rsidRDefault="001F261F" w:rsidP="001F261F">
            <w:pPr>
              <w:autoSpaceDE w:val="0"/>
              <w:autoSpaceDN w:val="0"/>
              <w:adjustRightInd w:val="0"/>
              <w:ind w:left="601"/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Likvidáciu obalov odpadov a jednorazových obalov by mali vykonávať špecializované firmy. Spôsob likvidácie odpadov dohodnite s príslušným územným oddelením pre ochranu životného prostredia. S obalom zaobchádzajte ako s nebezpečným odpadom. Nevypúšťajte do kanalizácie. Nedovoľte, aby došlo k znečisteniu povrchových vôd (jazier, vodných tokov, zavlažovacích kanálov). Zvyšky skladujte v pôvodných obaloch. Zneškodniť v súlade s platnými predpismi </w:t>
            </w:r>
          </w:p>
          <w:p w:rsidR="00E8397E" w:rsidRPr="009C56A7" w:rsidRDefault="00E8397E" w:rsidP="001F261F">
            <w:pPr>
              <w:autoSpaceDE w:val="0"/>
              <w:autoSpaceDN w:val="0"/>
              <w:adjustRightInd w:val="0"/>
              <w:ind w:left="601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Kľúč na označovanie odpadu (European Waste Code): 02 01 08 Odpadové agrochemikálie obsahujúce nebezpečné látky, vrátane prostriedky na ochranu rastlín I. a II. triedy toxicity (Veľmi toxické a toxické).</w:t>
            </w:r>
          </w:p>
          <w:p w:rsidR="00E8397E" w:rsidRPr="009C56A7" w:rsidRDefault="00E8397E" w:rsidP="001F261F">
            <w:pPr>
              <w:ind w:left="601"/>
              <w:jc w:val="both"/>
              <w:rPr>
                <w:rFonts w:cs="Arial"/>
                <w:sz w:val="16"/>
                <w:szCs w:val="16"/>
              </w:rPr>
            </w:pPr>
          </w:p>
          <w:p w:rsidR="00E8397E" w:rsidRPr="009C56A7" w:rsidRDefault="00E8397E" w:rsidP="00E8397E">
            <w:pPr>
              <w:ind w:left="601"/>
              <w:jc w:val="both"/>
              <w:rPr>
                <w:rFonts w:cs="Arial"/>
                <w:sz w:val="18"/>
                <w:szCs w:val="22"/>
                <w:u w:val="single"/>
              </w:rPr>
            </w:pPr>
            <w:r>
              <w:rPr>
                <w:sz w:val="18"/>
                <w:u w:val="single"/>
              </w:rPr>
              <w:t>Odstraňovanie obalov:</w:t>
            </w:r>
            <w:bookmarkStart w:id="0" w:name="_GoBack"/>
            <w:bookmarkEnd w:id="0"/>
          </w:p>
          <w:p w:rsidR="00E8397E" w:rsidRPr="009C56A7" w:rsidRDefault="00E8397E" w:rsidP="00E8397E">
            <w:pPr>
              <w:ind w:left="601"/>
              <w:jc w:val="both"/>
              <w:rPr>
                <w:rFonts w:cs="Arial"/>
                <w:sz w:val="18"/>
                <w:szCs w:val="22"/>
              </w:rPr>
            </w:pPr>
            <w:r>
              <w:rPr>
                <w:sz w:val="18"/>
              </w:rPr>
              <w:t>Prázdne obaly vypláchnite trikrát vodou a túto vodu vlejte do nádrže postrekovača. Používať prázdne obaly prostriedkov na ochranu rastlín na iné účely, vrátane ich využitia ako druhotných surovín, je zakázané. Prázdne obaly z prípravku vráťte predajcovi, u ktorého bol prípravok kúpený. Likvidujte ako nebezpečný odpad.</w:t>
            </w:r>
          </w:p>
        </w:tc>
      </w:tr>
    </w:tbl>
    <w:p w:rsidR="00552729" w:rsidRPr="009C56A7" w:rsidRDefault="00552729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56A7" w:rsidRPr="009C56A7" w:rsidTr="00070502">
        <w:tc>
          <w:tcPr>
            <w:tcW w:w="10490" w:type="dxa"/>
          </w:tcPr>
          <w:p w:rsidR="007D5E3C" w:rsidRPr="009C56A7" w:rsidRDefault="007D5E3C" w:rsidP="00560492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14. </w:t>
            </w:r>
            <w:r>
              <w:tab/>
            </w:r>
            <w:r>
              <w:rPr>
                <w:rFonts w:ascii="Arial" w:hAnsi="Arial"/>
                <w:sz w:val="22"/>
              </w:rPr>
              <w:t>INFORMÁCIE O DOPRAVE</w:t>
            </w:r>
          </w:p>
        </w:tc>
      </w:tr>
      <w:tr w:rsidR="009C56A7" w:rsidRPr="0024387E" w:rsidTr="00070502">
        <w:tc>
          <w:tcPr>
            <w:tcW w:w="10490" w:type="dxa"/>
          </w:tcPr>
          <w:p w:rsidR="007D5E3C" w:rsidRPr="007F130D" w:rsidRDefault="009554DD" w:rsidP="00E75F40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</w:rPr>
            </w:pPr>
            <w:r>
              <w:rPr>
                <w:sz w:val="18"/>
                <w:u w:val="single"/>
              </w:rPr>
              <w:t>Preprava po pevnine ADR/RID</w:t>
            </w:r>
            <w:r>
              <w:rPr>
                <w:sz w:val="18"/>
              </w:rPr>
              <w:t>:</w:t>
            </w:r>
          </w:p>
          <w:p w:rsidR="0047585C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14.1. </w:t>
            </w:r>
            <w:r>
              <w:tab/>
            </w:r>
            <w:r>
              <w:rPr>
                <w:b/>
                <w:sz w:val="18"/>
              </w:rPr>
              <w:t>Číslo UN (číslo ONZ):</w:t>
            </w:r>
            <w:r>
              <w:rPr>
                <w:sz w:val="18"/>
              </w:rPr>
              <w:t xml:space="preserve"> UN 3082</w:t>
            </w:r>
          </w:p>
          <w:p w:rsidR="0047585C" w:rsidRPr="00825AF0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825AF0">
              <w:rPr>
                <w:rFonts w:cs="Arial"/>
                <w:sz w:val="18"/>
              </w:rPr>
              <w:t>Na základe osobitného ustanovenia 375 kapitoly 3.3.1 v ADR sa na prepravu tovaru v jednotkových baleniach obsahujúcich maximálne 5 litrov materiálu, ktoré sa expedujú ako samostatné balenia alebo v rámci kombinovaných balení, nevzťahujú žiadne iné predpisy ADR a to pod podmienkou, že balenia spĺňajú požiadavky uvedené v 4.1.1.1, 4.1.1.2 a od 4.1.1.4 do 4.1.1.8 ADR.</w:t>
            </w:r>
          </w:p>
          <w:p w:rsidR="0047585C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 xml:space="preserve">14.2. </w:t>
            </w:r>
            <w:r>
              <w:tab/>
            </w:r>
            <w:r>
              <w:rPr>
                <w:b/>
                <w:sz w:val="18"/>
              </w:rPr>
              <w:t>Správny prepravný názov UN:</w:t>
            </w:r>
            <w:r>
              <w:rPr>
                <w:sz w:val="18"/>
              </w:rPr>
              <w:t xml:space="preserve">  </w:t>
            </w:r>
          </w:p>
          <w:p w:rsidR="0047585C" w:rsidRPr="003D6DDD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3D6DDD">
              <w:rPr>
                <w:rFonts w:cs="Arial"/>
                <w:sz w:val="18"/>
              </w:rPr>
              <w:t>ADR: LÁTKY OHROZUJÚCE ŽIVOTNÉ PROSTREDIE, LIQUID, I.N.O</w:t>
            </w:r>
          </w:p>
          <w:p w:rsidR="0047585C" w:rsidRPr="00411D72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 w:rsidRPr="003D6DDD">
              <w:rPr>
                <w:rFonts w:cs="Arial"/>
                <w:sz w:val="18"/>
              </w:rPr>
              <w:t>RID:  LÁTKY OHROZUJÚCE ŽIVOTNÉ PROSTREDIE, LIQUID, I.N.O</w:t>
            </w:r>
          </w:p>
          <w:p w:rsidR="0047585C" w:rsidRPr="00411D72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 xml:space="preserve">14.3. </w:t>
            </w:r>
            <w:r>
              <w:tab/>
            </w:r>
            <w:r>
              <w:rPr>
                <w:b/>
                <w:sz w:val="18"/>
              </w:rPr>
              <w:t>Trieda(y) ohrozenia pri doprave:</w:t>
            </w:r>
            <w:r>
              <w:rPr>
                <w:sz w:val="18"/>
              </w:rPr>
              <w:t xml:space="preserve"> </w:t>
            </w:r>
            <w:r w:rsidRPr="003D6DDD">
              <w:rPr>
                <w:sz w:val="18"/>
              </w:rPr>
              <w:t>Trieda 9, klasifikačný kód M6</w:t>
            </w:r>
          </w:p>
          <w:p w:rsidR="0047585C" w:rsidRPr="00411D72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14.4.</w:t>
            </w:r>
            <w:r>
              <w:tab/>
            </w:r>
            <w:r>
              <w:rPr>
                <w:b/>
                <w:sz w:val="18"/>
              </w:rPr>
              <w:t>Obalová skupina:</w:t>
            </w:r>
            <w:r>
              <w:t xml:space="preserve"> </w:t>
            </w:r>
            <w:r w:rsidRPr="003D6DDD">
              <w:rPr>
                <w:sz w:val="18"/>
              </w:rPr>
              <w:t>III</w:t>
            </w:r>
          </w:p>
          <w:p w:rsidR="0047585C" w:rsidRPr="00411D72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</w:rPr>
            </w:pPr>
            <w:r>
              <w:rPr>
                <w:b/>
                <w:sz w:val="18"/>
              </w:rPr>
              <w:t xml:space="preserve">14.5. </w:t>
            </w:r>
            <w:r>
              <w:tab/>
            </w:r>
            <w:r>
              <w:rPr>
                <w:b/>
                <w:sz w:val="18"/>
              </w:rPr>
              <w:t>Nebezpečnosť pre životné prostredie:</w:t>
            </w:r>
            <w:r>
              <w:rPr>
                <w:sz w:val="18"/>
              </w:rPr>
              <w:t xml:space="preserve"> -</w:t>
            </w:r>
          </w:p>
          <w:p w:rsidR="0047585C" w:rsidRPr="003D6DDD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14.6.</w:t>
            </w:r>
            <w:r>
              <w:tab/>
            </w:r>
            <w:r>
              <w:rPr>
                <w:b/>
                <w:sz w:val="18"/>
              </w:rPr>
              <w:t xml:space="preserve">Osobitné bezpečnostné opatrenia pre používateľa: </w:t>
            </w:r>
            <w:r w:rsidRPr="003D6DDD">
              <w:rPr>
                <w:sz w:val="18"/>
              </w:rPr>
              <w:t>Zvláštne ustanovenia: 274, 335, 375, 601; aplikovať</w:t>
            </w:r>
          </w:p>
          <w:p w:rsidR="0047585C" w:rsidRPr="00411D72" w:rsidRDefault="0047585C" w:rsidP="0047585C">
            <w:pPr>
              <w:tabs>
                <w:tab w:val="left" w:pos="601"/>
                <w:tab w:val="left" w:pos="513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Pr="003D6DDD">
              <w:rPr>
                <w:sz w:val="18"/>
              </w:rPr>
              <w:t>osobitných ustanovení podľa 5.2.1.8.</w:t>
            </w:r>
          </w:p>
          <w:p w:rsidR="007D5E3C" w:rsidRPr="009C56A7" w:rsidRDefault="0047585C" w:rsidP="0047585C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14.7.</w:t>
            </w:r>
            <w:r>
              <w:tab/>
            </w:r>
            <w:r>
              <w:rPr>
                <w:b/>
                <w:sz w:val="18"/>
              </w:rPr>
              <w:t xml:space="preserve">Voľná preprava hromadného nákladu podľa prílohy II k dohovoru MARPOL 73/78 a Kódexu IBC </w:t>
            </w:r>
            <w:r>
              <w:rPr>
                <w:rFonts w:cs="Arial"/>
                <w:b/>
                <w:sz w:val="18"/>
              </w:rPr>
              <w:br/>
            </w:r>
            <w:r>
              <w:tab/>
            </w:r>
            <w:r>
              <w:rPr>
                <w:sz w:val="18"/>
              </w:rPr>
              <w:t>Žiadne informácie.</w:t>
            </w:r>
          </w:p>
        </w:tc>
      </w:tr>
    </w:tbl>
    <w:p w:rsidR="00F64FE2" w:rsidRPr="009C56A7" w:rsidRDefault="00F64FE2"/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10490"/>
      </w:tblGrid>
      <w:tr w:rsidR="009C56A7" w:rsidRPr="0024387E" w:rsidTr="00070502">
        <w:tc>
          <w:tcPr>
            <w:tcW w:w="10490" w:type="dxa"/>
          </w:tcPr>
          <w:p w:rsidR="00CF0DBB" w:rsidRPr="009C56A7" w:rsidRDefault="00CF0DBB" w:rsidP="00CF0DBB">
            <w:pPr>
              <w:pStyle w:val="CWHead"/>
              <w:keepNext/>
              <w:keepLines/>
              <w:tabs>
                <w:tab w:val="left" w:pos="1310"/>
                <w:tab w:val="left" w:pos="642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15. </w:t>
            </w:r>
            <w:r>
              <w:tab/>
            </w:r>
            <w:r>
              <w:rPr>
                <w:rFonts w:ascii="Arial" w:hAnsi="Arial"/>
                <w:sz w:val="22"/>
              </w:rPr>
              <w:t>INFORMÁCIE TÝKAJÚCE SA PRÁVNYCH PREDPISOV</w:t>
            </w:r>
          </w:p>
        </w:tc>
      </w:tr>
      <w:tr w:rsidR="009C56A7" w:rsidRPr="0024387E" w:rsidTr="00070502">
        <w:tc>
          <w:tcPr>
            <w:tcW w:w="10490" w:type="dxa"/>
          </w:tcPr>
          <w:p w:rsidR="00CF0DBB" w:rsidRPr="009C56A7" w:rsidRDefault="00D37B1D" w:rsidP="00E75F4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60"/>
              <w:rPr>
                <w:rFonts w:cs="EUAlbertina"/>
                <w:b/>
                <w:bCs/>
                <w:sz w:val="18"/>
                <w:szCs w:val="17"/>
              </w:rPr>
            </w:pPr>
            <w:r>
              <w:rPr>
                <w:b/>
                <w:sz w:val="18"/>
              </w:rPr>
              <w:t xml:space="preserve">15.1. </w:t>
            </w:r>
            <w:r>
              <w:tab/>
            </w:r>
            <w:r>
              <w:rPr>
                <w:b/>
                <w:sz w:val="18"/>
              </w:rPr>
              <w:t>Nariadenia/právne predpisy špecifické pre látku alebo zmes v oblasti bezpečnosti, zdravia a životného prostredia</w:t>
            </w:r>
          </w:p>
          <w:p w:rsidR="00D37B1D" w:rsidRPr="009C56A7" w:rsidRDefault="00D37B1D" w:rsidP="00D37B1D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rPr>
                <w:rFonts w:cs="EUAlbertina"/>
                <w:bCs/>
                <w:sz w:val="18"/>
                <w:szCs w:val="17"/>
              </w:rPr>
            </w:pPr>
            <w:r>
              <w:t>Právne predpisy:</w:t>
            </w:r>
          </w:p>
          <w:p w:rsidR="00BB75FE" w:rsidRPr="009C56A7" w:rsidRDefault="00D37B1D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Nariadenie (ES) nr 1907/2006 Európskeho parlamentu a Rady z 18. decembra 2006 o registrácii, hodnotení, udeľovaní povolení a uplatňovaní obmedzení v oblasti chemikálií (REACH) a vytvorenia Európskej agentúry pre chemikálie, meniace smernicu 1999/45/ES a rušiace nariadenie Rady (EHS) č. 793/93 a nariadenie Komisie (ES) č. 1488/94, ako aj smernicu Rady 76/769/EHS a smernicu Komisie 91/155/EHS, 93/67/EHS, 93/105/ES a 2000/21/ES (Úr. v. EÚ L 396), v znení neskorších predpisov</w:t>
            </w:r>
          </w:p>
          <w:p w:rsidR="006D56F7" w:rsidRPr="009C56A7" w:rsidRDefault="00BB75FE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lastRenderedPageBreak/>
              <w:t>NARIADENIE EURÓPSKEHO PARLAMENTU A RADY (ES) č. 1272/2008 z 16. decembra 2008 o klasifikácii, označovaní a balení látok a zmesí, meniace a rušiace smernice 67/548/EHS a 1999/45/ES a meniace nariadenie (ES) č. 1907/2006 (Úr. v. EÚ L 353), v znení neskorších predpisov</w:t>
            </w:r>
          </w:p>
          <w:p w:rsidR="006D56F7" w:rsidRPr="009C56A7" w:rsidRDefault="006D56F7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napToGrid/>
                <w:sz w:val="16"/>
              </w:rPr>
              <w:t>NARIADENIE EURÓPSKEHO PARLAMENTU A RADY 1999/45/ES z dňa 31. mája 1999 o aproximácii zákonov, iných právnych predpisov a správnych opatrení členských štátov o klasifikácii, balení a označovaní nebezpečných prípravkov (Úr. v. ES L 200), v znení neskorších predpisov</w:t>
            </w:r>
          </w:p>
          <w:p w:rsidR="00DE71A9" w:rsidRPr="009C56A7" w:rsidRDefault="00DE71A9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ZÁKON o chemických látkach a zmesiach (Úr. v. 2011 č. 63, pol. 322), v znení neskorších predpisov</w:t>
            </w:r>
          </w:p>
          <w:p w:rsidR="009C47BD" w:rsidRPr="009C56A7" w:rsidRDefault="009C47BD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napToGrid/>
                <w:sz w:val="16"/>
              </w:rPr>
              <w:t>Európska dohoda o medzinárodnej cestnej preprave nebezpečných vecí (ADR), verzia platná od 1. januára 2011</w:t>
            </w:r>
          </w:p>
          <w:p w:rsidR="007024E9" w:rsidRPr="009C56A7" w:rsidRDefault="00B26227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NARIADENIE č. 1 ministra hospodárstva, práce a sociálnej politiky z dňa 12. februára 2003 vo veci ADR; NARIADENIE č. 8 ministra hospodárstva a práce z dňa 21. júla 2004 vo veci RID</w:t>
            </w:r>
          </w:p>
          <w:p w:rsidR="007024E9" w:rsidRPr="009C56A7" w:rsidRDefault="00B26227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z w:val="16"/>
              </w:rPr>
              <w:t>NARIADENIE MINISTRA PRÁCE A SOCIÁLNEJ POLITIKY z dňa 29. novembra 2002 o najvyššie prípustných expozičných limitoch intenzitách škodlivých faktorov v pracovnom prostredí (Úr. v. 2002 č. 217, pol. 1833) v znení neskorších predpisov</w:t>
            </w:r>
          </w:p>
          <w:p w:rsidR="00E8397E" w:rsidRPr="009C56A7" w:rsidRDefault="006D56F7" w:rsidP="00E8397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z w:val="16"/>
              </w:rPr>
              <w:t>ZÁKON o obaloch a obalových odpadoch z dňa 11. mája 2001 (Úr. v. 2001 č. 63, pol. 638), v znení neskorších predpisov</w:t>
            </w:r>
          </w:p>
          <w:p w:rsidR="00E8397E" w:rsidRPr="009C56A7" w:rsidRDefault="00E8397E" w:rsidP="00E8397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Smernica Rady č. 75/442/EHS o odpadoch</w:t>
            </w:r>
          </w:p>
          <w:p w:rsidR="00E8397E" w:rsidRPr="009C56A7" w:rsidRDefault="00E8397E" w:rsidP="00E8397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Smernica Rady č. 91/689/EHS o nebezpečných odpadoch, Smernica Komisie č. 2000/532/ES z dňa 3. mája 2000 o zozname odpadov, OJ č. L 226/3 z dňa 6. septembra 2000, spolu s meniacimi rozhodnutiami.</w:t>
            </w:r>
          </w:p>
          <w:p w:rsidR="00E31187" w:rsidRPr="009C56A7" w:rsidRDefault="00B26227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z w:val="16"/>
              </w:rPr>
              <w:t>NARIADENIE ministra hospodárstva z dňa 27. septembra 2001 o zozname odpadov (Úr. v. 2001 č. 112, pol. 1206), v znení neskorších predpisov</w:t>
            </w:r>
          </w:p>
          <w:p w:rsidR="008E234E" w:rsidRPr="009C56A7" w:rsidRDefault="00B26227" w:rsidP="008E234E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z w:val="16"/>
              </w:rPr>
              <w:t>NARIADENIE Ministra práce a sociálnej politiky z dňa 31. mája 2003 o základných požiadavkách na prostriedky osobnej ochrany (Úr. v. 2003 č. 80, pol. 725), v znení neskorších predpisov</w:t>
            </w:r>
          </w:p>
          <w:p w:rsidR="00A92400" w:rsidRPr="009C56A7" w:rsidRDefault="00B26227" w:rsidP="00A92400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sz w:val="16"/>
              </w:rPr>
              <w:t>NARIADENIE Ministra práce a sociálnej politiky z dňa 26. septembra 1997 o všeobecných predpisoch bezpečnosti a ochrany zdravia pri práci (Úr. v. 1997 č. 129, pol. 844) v znení neskorších predpisov</w:t>
            </w:r>
          </w:p>
          <w:p w:rsidR="00C055F2" w:rsidRPr="009C56A7" w:rsidRDefault="00A92400" w:rsidP="00C055F2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NARIADENIE (ES) Č. 1107/2009 z dňa 21. októbra 2009 o uvádzaní prípravkov na ochranu rastlín na trh a o zrušení smerníc Rady 79/117/EHS a 91/414/EHS</w:t>
            </w:r>
          </w:p>
          <w:p w:rsidR="00C055F2" w:rsidRPr="009C56A7" w:rsidRDefault="00C055F2" w:rsidP="00C055F2">
            <w:pPr>
              <w:pStyle w:val="Odsekzoznamu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284"/>
              <w:jc w:val="both"/>
              <w:rPr>
                <w:rFonts w:eastAsiaTheme="minorHAnsi" w:cs="Arial"/>
                <w:bCs/>
                <w:snapToGrid/>
                <w:sz w:val="16"/>
              </w:rPr>
            </w:pPr>
            <w:r>
              <w:rPr>
                <w:rFonts w:eastAsiaTheme="minorHAnsi"/>
                <w:snapToGrid/>
                <w:sz w:val="16"/>
              </w:rPr>
              <w:t>ZÁKON z dňa 8. marca 2013 o prípravkoch na ochranu rastlín (Úr. v. 2013 pol. 455), v znení nesk. predp.</w:t>
            </w:r>
          </w:p>
          <w:p w:rsidR="00A92400" w:rsidRPr="009C56A7" w:rsidRDefault="00A92400" w:rsidP="00A92400">
            <w:pPr>
              <w:pStyle w:val="Odsekzoznamu"/>
              <w:widowControl/>
              <w:autoSpaceDE w:val="0"/>
              <w:autoSpaceDN w:val="0"/>
              <w:adjustRightInd w:val="0"/>
              <w:ind w:left="885"/>
              <w:jc w:val="both"/>
              <w:rPr>
                <w:rFonts w:eastAsiaTheme="minorHAnsi" w:cs="Arial"/>
                <w:bCs/>
                <w:snapToGrid/>
                <w:sz w:val="16"/>
              </w:rPr>
            </w:pPr>
          </w:p>
          <w:p w:rsidR="008E234E" w:rsidRPr="009C56A7" w:rsidRDefault="008E234E" w:rsidP="00E75F40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 w:cs="Arial"/>
                <w:b/>
                <w:bCs/>
                <w:snapToGrid/>
                <w:sz w:val="18"/>
              </w:rPr>
            </w:pPr>
            <w:r>
              <w:rPr>
                <w:rFonts w:eastAsiaTheme="minorHAnsi"/>
                <w:b/>
                <w:snapToGrid/>
                <w:sz w:val="18"/>
              </w:rPr>
              <w:t xml:space="preserve">15.2. </w:t>
            </w:r>
            <w:r>
              <w:tab/>
            </w:r>
            <w:r>
              <w:rPr>
                <w:rFonts w:eastAsiaTheme="minorHAnsi"/>
                <w:b/>
                <w:snapToGrid/>
                <w:sz w:val="18"/>
              </w:rPr>
              <w:t>Hodnotenie chemickej bezpečnosti</w:t>
            </w:r>
          </w:p>
          <w:p w:rsidR="008E234E" w:rsidRPr="009C56A7" w:rsidRDefault="00E31187" w:rsidP="00E31187">
            <w:pPr>
              <w:widowControl/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eastAsiaTheme="minorHAnsi" w:cs="Arial"/>
                <w:bCs/>
                <w:snapToGrid/>
                <w:sz w:val="18"/>
              </w:rPr>
            </w:pPr>
            <w:r>
              <w:rPr>
                <w:rFonts w:eastAsiaTheme="minorHAnsi"/>
                <w:snapToGrid/>
                <w:sz w:val="18"/>
              </w:rPr>
              <w:t>Nevyžaduje sa.</w:t>
            </w:r>
          </w:p>
        </w:tc>
      </w:tr>
    </w:tbl>
    <w:p w:rsidR="00CF0DBB" w:rsidRDefault="00CF0DBB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31187" w:rsidRPr="00A03B12" w:rsidTr="00F71B0B">
        <w:trPr>
          <w:trHeight w:val="506"/>
        </w:trPr>
        <w:tc>
          <w:tcPr>
            <w:tcW w:w="10490" w:type="dxa"/>
          </w:tcPr>
          <w:p w:rsidR="00E31187" w:rsidRPr="00A03B12" w:rsidRDefault="001D41CB" w:rsidP="001D41CB">
            <w:pPr>
              <w:pStyle w:val="CWHead"/>
              <w:keepNext/>
              <w:keepLines/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Oddiel 16. </w:t>
            </w:r>
            <w:r>
              <w:tab/>
            </w:r>
            <w:r>
              <w:rPr>
                <w:rFonts w:ascii="Arial" w:hAnsi="Arial"/>
                <w:sz w:val="22"/>
              </w:rPr>
              <w:t>INÉ INFORMÁCIE</w:t>
            </w:r>
          </w:p>
        </w:tc>
      </w:tr>
      <w:tr w:rsidR="00E31187" w:rsidRPr="0024387E" w:rsidTr="00F71B0B">
        <w:tc>
          <w:tcPr>
            <w:tcW w:w="10490" w:type="dxa"/>
          </w:tcPr>
          <w:p w:rsidR="00A92400" w:rsidRPr="009C56A7" w:rsidRDefault="00A92400" w:rsidP="00A92400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>
              <w:rPr>
                <w:rFonts w:ascii="Arial" w:hAnsi="Arial"/>
                <w:i w:val="0"/>
                <w:sz w:val="18"/>
                <w:u w:val="single"/>
              </w:rPr>
              <w:t>Zmeny zavedené pri revízii karty bezpečnostných údajov:</w:t>
            </w:r>
          </w:p>
          <w:p w:rsidR="00982604" w:rsidRDefault="0047585C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/>
                <w:i w:val="0"/>
                <w:sz w:val="18"/>
              </w:rPr>
            </w:pPr>
            <w:r w:rsidRPr="0047585C">
              <w:rPr>
                <w:rFonts w:ascii="Arial" w:hAnsi="Arial"/>
                <w:i w:val="0"/>
                <w:sz w:val="18"/>
              </w:rPr>
              <w:t>Aktualizácia Oddielu 14. Oddiel 1. a 2. – opravená klasifikácia, Oddiel 1. – zmena výrobcu prípravku na ochranu rastlín.</w:t>
            </w:r>
          </w:p>
          <w:p w:rsidR="0047585C" w:rsidRPr="009C56A7" w:rsidRDefault="0047585C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:rsidR="00A92400" w:rsidRPr="009C56A7" w:rsidRDefault="00A92400" w:rsidP="00A92400">
            <w:pPr>
              <w:pStyle w:val="BodyText31"/>
              <w:spacing w:after="6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>
              <w:rPr>
                <w:rFonts w:ascii="Arial" w:hAnsi="Arial"/>
                <w:i w:val="0"/>
                <w:sz w:val="18"/>
                <w:u w:val="single"/>
              </w:rPr>
              <w:t>Zdroje informácií, na základe ktorých bola vyhotovená karta bezpečnostných údajov:</w:t>
            </w:r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Karta bezpečnostných údajov bola vyhotovená na základe vlastných štúdií výrobcu, informácií dodaných výrobcami zložiek formulácie a údajov týkajúcich sa zložiek formulácie dostupných na európskej úrovni.</w:t>
            </w:r>
          </w:p>
          <w:p w:rsidR="00A92400" w:rsidRPr="009C56A7" w:rsidRDefault="00A92400" w:rsidP="00A92400">
            <w:pPr>
              <w:pStyle w:val="BodyText31"/>
              <w:autoSpaceDE/>
              <w:autoSpaceDN/>
              <w:adjustRightInd/>
              <w:spacing w:after="60"/>
              <w:rPr>
                <w:rFonts w:ascii="Arial" w:hAnsi="Arial" w:cs="Arial"/>
                <w:bCs/>
                <w:i w:val="0"/>
                <w:sz w:val="10"/>
                <w:szCs w:val="10"/>
              </w:rPr>
            </w:pPr>
          </w:p>
          <w:p w:rsidR="00A92400" w:rsidRPr="009C56A7" w:rsidRDefault="00B574A7" w:rsidP="006F58CA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  <w:u w:val="single"/>
              </w:rPr>
            </w:pPr>
            <w:r>
              <w:rPr>
                <w:rFonts w:ascii="Arial" w:hAnsi="Arial"/>
                <w:i w:val="0"/>
                <w:sz w:val="18"/>
                <w:u w:val="single"/>
              </w:rPr>
              <w:t>Symboly a H-vety použité v Oddiele 3 a nevysvetlené v Oddiele 2:</w:t>
            </w:r>
          </w:p>
          <w:p w:rsidR="00AD0BCE" w:rsidRPr="009C56A7" w:rsidRDefault="00982604" w:rsidP="00AD0BCE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b/>
                <w:i w:val="0"/>
                <w:sz w:val="18"/>
              </w:rPr>
              <w:t>H412</w:t>
            </w:r>
            <w:r w:rsidR="00AD0BCE">
              <w:t xml:space="preserve"> </w:t>
            </w:r>
            <w:r w:rsidR="00AD0BCE">
              <w:rPr>
                <w:rFonts w:ascii="Arial" w:hAnsi="Arial"/>
                <w:b/>
                <w:i w:val="0"/>
                <w:sz w:val="18"/>
              </w:rPr>
              <w:t xml:space="preserve">– </w:t>
            </w:r>
            <w:r w:rsidRPr="00982604">
              <w:rPr>
                <w:rFonts w:ascii="Arial" w:hAnsi="Arial"/>
                <w:i w:val="0"/>
                <w:sz w:val="18"/>
              </w:rPr>
              <w:t>Škodlivý pre vodné organizmy, s dlhodobými účinkami.</w:t>
            </w:r>
          </w:p>
          <w:p w:rsidR="00AD0BCE" w:rsidRPr="009C56A7" w:rsidRDefault="00AD0BCE" w:rsidP="00AD0BCE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/>
                <w:bCs/>
                <w:i w:val="0"/>
                <w:sz w:val="18"/>
              </w:rPr>
            </w:pP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rPr>
                <w:rFonts w:ascii="Arial" w:hAnsi="Arial" w:cs="Arial"/>
                <w:i w:val="0"/>
                <w:sz w:val="18"/>
                <w:u w:val="single"/>
              </w:rPr>
            </w:pPr>
            <w:r>
              <w:rPr>
                <w:rFonts w:ascii="Arial" w:hAnsi="Arial"/>
                <w:i w:val="0"/>
                <w:sz w:val="18"/>
                <w:u w:val="single"/>
              </w:rPr>
              <w:t xml:space="preserve">Opis použitých skratiek, akronymov a symbolov: 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Aquatic Chronic – nebezpečnosť pre vodné prostredie, dlhodobá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Aquatic Acute – nebezpečnosť pre vodné prostredie, akútna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Eye Irrit. – dráždi oči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Skin Irrit. – dráždi pokožku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Eye dam. – účinkuje žieravo na oko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Asp.Tox. – nežiadúci / toxický účinok pri požití/vdýchnutí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Skin Sens. – senzibilizačné účinky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Acute Tox. – akútnatoxicita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bCs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STOT SE. – nežiadúce účinky na cieľové orgány po opakovanej expozícii</w:t>
            </w:r>
          </w:p>
          <w:p w:rsidR="00982604" w:rsidRPr="00411D72" w:rsidRDefault="00982604" w:rsidP="00982604">
            <w:pPr>
              <w:pStyle w:val="BodyText31"/>
              <w:autoSpaceDE/>
              <w:autoSpaceDN/>
              <w:adjustRightInd/>
              <w:rPr>
                <w:rFonts w:ascii="Arial" w:hAnsi="Arial" w:cs="Arial"/>
                <w:i w:val="0"/>
                <w:sz w:val="18"/>
                <w:u w:val="single"/>
              </w:rPr>
            </w:pP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>EC</w:t>
            </w:r>
            <w:r>
              <w:rPr>
                <w:snapToGrid/>
                <w:sz w:val="18"/>
              </w:rPr>
              <w:t xml:space="preserve"> - číselné označenie priradené chemckej látke v Európskom zozname existujúcich chemických látok komerčného významu (EINECS – ang. European Inventory of Existing Chemical Substances), alebo číslo priradené chemickej látke v Európskom zozname notifikovaných chemických látok (ELINCS – ang. European List of Notified Chemical Substances), lub numer w wykazie substancji chemicznych wymienionych w publikacji "No-longer polymers".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>CAS</w:t>
            </w:r>
            <w:r>
              <w:rPr>
                <w:snapToGrid/>
                <w:sz w:val="18"/>
              </w:rPr>
              <w:t xml:space="preserve"> - číselné označenie priradené chemickej látke americkou organizáciou Chemical Abstracts Service (CAS), umožňujúce identifikáciu chemickej látky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>NPEL-priemerný</w:t>
            </w:r>
            <w:r>
              <w:rPr>
                <w:snapToGrid/>
                <w:sz w:val="18"/>
              </w:rPr>
              <w:t xml:space="preserve"> - najvyššie prípustný expozičný limit; vážená priemerná koncentrácia, ktorej pôsobenie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snapToGrid/>
                <w:sz w:val="18"/>
              </w:rPr>
              <w:t>na pracovníka počas 8-hodinovej dennej a priemernej týždennej pracovnej doby,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snapToGrid/>
                <w:sz w:val="18"/>
              </w:rPr>
              <w:t>stanovenej Zákonníkom práce, po dobu celej svojej odbornej činnosti nevedie k negatívnym zmenám v jeho zdravotnom stave alebo v zdravotnom stave jeho budúcich pokolení.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b/>
                <w:bCs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lastRenderedPageBreak/>
              <w:t xml:space="preserve">NPEL-krátkodobý </w:t>
            </w:r>
            <w:r>
              <w:rPr>
                <w:snapToGrid/>
                <w:sz w:val="18"/>
              </w:rPr>
              <w:t>- najvyšší krátkodobý prípustný expozičný limit - priemerná hodnota koncentrácie danej toxickej chemickej látky, ktoré by nemalo v zdravotnom stave pracovníka spôsobovať negatívne zmeny, pokiaľ sa v pracovnom prostredí vyskytuje maximálne 15 minút a s maximálne 2 krát počas pracovnej zmeny s minimálnymi prestávkami 1 hodina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bCs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 xml:space="preserve">NPEL-hraničný </w:t>
            </w:r>
            <w:r>
              <w:rPr>
                <w:snapToGrid/>
                <w:sz w:val="18"/>
              </w:rPr>
              <w:t>hodnota koncentrácie toxickej chemickej látky, ktorá vzhľadom na ohrozenie zdravia alebo života pracovníka nemôže byť v pracovnom prostredí nikdy prekročená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b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>LC</w:t>
            </w:r>
            <w:r>
              <w:rPr>
                <w:b/>
                <w:snapToGrid/>
                <w:sz w:val="18"/>
                <w:vertAlign w:val="subscript"/>
              </w:rPr>
              <w:t>50</w:t>
            </w:r>
            <w:r>
              <w:rPr>
                <w:b/>
                <w:snapToGrid/>
                <w:sz w:val="18"/>
              </w:rPr>
              <w:t xml:space="preserve">  - </w:t>
            </w:r>
            <w:r>
              <w:rPr>
                <w:snapToGrid/>
                <w:sz w:val="18"/>
              </w:rPr>
              <w:t>Medián smrteľnej dávky: koncentrácia chemickej látky spôsobujúca po jej podaní v daných podmienkach smrť 50% skúmaných organizmov, vypočítaná štatisticky na základe experimentálnych údajov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>LD50 - (</w:t>
            </w:r>
            <w:r>
              <w:rPr>
                <w:snapToGrid/>
                <w:sz w:val="18"/>
              </w:rPr>
              <w:t xml:space="preserve">Lethal Dose) dávka chemickej látky vypočítaná v miligramoch na kilogram telesnej hmotnosti, potrebná na usmrtenie 50% skúmanej populácie 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b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 xml:space="preserve">PBT - </w:t>
            </w:r>
            <w:r>
              <w:rPr>
                <w:snapToGrid/>
                <w:sz w:val="18"/>
              </w:rPr>
              <w:t>koeficient určujúci či daná chemická látka je perzistentná, či podlieha bioakumulácii, a či je toxická</w:t>
            </w:r>
          </w:p>
          <w:p w:rsidR="00982604" w:rsidRPr="00411D72" w:rsidRDefault="00982604" w:rsidP="00982604">
            <w:pPr>
              <w:widowControl/>
              <w:tabs>
                <w:tab w:val="left" w:pos="567"/>
              </w:tabs>
              <w:spacing w:line="240" w:lineRule="exact"/>
              <w:ind w:left="601"/>
              <w:jc w:val="both"/>
              <w:rPr>
                <w:rFonts w:cs="Arial"/>
                <w:b/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</w:rPr>
              <w:t xml:space="preserve">vPvB - </w:t>
            </w:r>
            <w:r>
              <w:rPr>
                <w:snapToGrid/>
                <w:sz w:val="18"/>
              </w:rPr>
              <w:t>koeficient určujúci či daná chemická látka je veľmi perzistentná, a či vo veľkej miere podlieha bioakumulácii</w:t>
            </w:r>
          </w:p>
          <w:p w:rsidR="000048B3" w:rsidRPr="009C56A7" w:rsidRDefault="000048B3" w:rsidP="00B574A7">
            <w:pPr>
              <w:pStyle w:val="BodyText31"/>
              <w:autoSpaceDE/>
              <w:autoSpaceDN/>
              <w:adjustRightInd/>
              <w:spacing w:after="0"/>
              <w:rPr>
                <w:rFonts w:ascii="Arial" w:hAnsi="Arial" w:cs="Arial"/>
                <w:i w:val="0"/>
                <w:sz w:val="18"/>
              </w:rPr>
            </w:pPr>
          </w:p>
        </w:tc>
      </w:tr>
    </w:tbl>
    <w:p w:rsidR="005076B4" w:rsidRDefault="005076B4" w:rsidP="00F71B0B">
      <w:pPr>
        <w:pBdr>
          <w:top w:val="single" w:sz="4" w:space="1" w:color="auto"/>
        </w:pBdr>
        <w:spacing w:before="60"/>
        <w:ind w:left="-142"/>
        <w:jc w:val="both"/>
        <w:rPr>
          <w:rFonts w:cs="Arial"/>
          <w:sz w:val="16"/>
          <w:szCs w:val="19"/>
        </w:rPr>
      </w:pPr>
    </w:p>
    <w:p w:rsidR="00E31187" w:rsidRPr="000048B3" w:rsidRDefault="000048B3" w:rsidP="00F71B0B">
      <w:pPr>
        <w:spacing w:before="60"/>
        <w:ind w:left="-142"/>
        <w:jc w:val="both"/>
      </w:pPr>
      <w:r>
        <w:rPr>
          <w:sz w:val="16"/>
        </w:rPr>
        <w:t>Údaje obsiahnuté v tejto Karte bezpečnostných údajov zodpovedajú súčasnému stavu vedomostí a týkajú sa výrobku vo forme, v akej je používaný. Tieto údaje sú určené iba ako pomôcka pre zaistenie bezpečného zaobchádzania, prepravy, použitia, spracovania, skladovania a likvidovania odpadov. Karta by nemala nahradzovať záručný list alebo certifikát kvality. Užívateľ nesie zodpovednosť vyplývajúcu z nesprávneho využitia informácií obsiahnutých v Karte bezpečnostných údajov, prípadne z nesprávneho použitia výrobku.</w:t>
      </w:r>
    </w:p>
    <w:sectPr w:rsidR="00E31187" w:rsidRPr="000048B3" w:rsidSect="00F71B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1134" w:header="426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75" w:rsidRDefault="00EB7275" w:rsidP="00D12377">
      <w:r>
        <w:separator/>
      </w:r>
    </w:p>
  </w:endnote>
  <w:endnote w:type="continuationSeparator" w:id="0">
    <w:p w:rsidR="00EB7275" w:rsidRDefault="00EB7275" w:rsidP="00D1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5" w:rsidRDefault="00947DA5" w:rsidP="002B45E8">
    <w:pPr>
      <w:pStyle w:val="Pta"/>
      <w:pBdr>
        <w:top w:val="single" w:sz="4" w:space="1" w:color="auto"/>
      </w:pBdr>
      <w:spacing w:before="120"/>
      <w:jc w:val="right"/>
      <w:rPr>
        <w:rFonts w:cs="Arial"/>
        <w:sz w:val="18"/>
      </w:rPr>
    </w:pPr>
    <w:r>
      <w:rPr>
        <w:sz w:val="18"/>
      </w:rPr>
      <w:t xml:space="preserve">strana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PAGE  \* Arabic  \* MERGEFORMAT</w:instrText>
    </w:r>
    <w:r w:rsidRPr="001D41CB">
      <w:rPr>
        <w:rFonts w:cs="Arial"/>
        <w:sz w:val="18"/>
      </w:rPr>
      <w:fldChar w:fldCharType="separate"/>
    </w:r>
    <w:r w:rsidR="00BC5DF3">
      <w:rPr>
        <w:rFonts w:cs="Arial"/>
        <w:noProof/>
        <w:sz w:val="18"/>
      </w:rPr>
      <w:t>2</w:t>
    </w:r>
    <w:r w:rsidRPr="001D41CB">
      <w:rPr>
        <w:rFonts w:cs="Arial"/>
        <w:sz w:val="18"/>
      </w:rPr>
      <w:fldChar w:fldCharType="end"/>
    </w:r>
    <w:r>
      <w:rPr>
        <w:sz w:val="18"/>
      </w:rPr>
      <w:t xml:space="preserve"> / </w:t>
    </w:r>
    <w:r w:rsidRPr="001D41CB">
      <w:rPr>
        <w:rFonts w:cs="Arial"/>
        <w:sz w:val="18"/>
      </w:rPr>
      <w:fldChar w:fldCharType="begin"/>
    </w:r>
    <w:r w:rsidRPr="001D41CB">
      <w:rPr>
        <w:rFonts w:cs="Arial"/>
        <w:sz w:val="18"/>
      </w:rPr>
      <w:instrText>NUMPAGES  \* Arabic  \* MERGEFORMAT</w:instrText>
    </w:r>
    <w:r w:rsidRPr="001D41CB">
      <w:rPr>
        <w:rFonts w:cs="Arial"/>
        <w:sz w:val="18"/>
      </w:rPr>
      <w:fldChar w:fldCharType="separate"/>
    </w:r>
    <w:r w:rsidR="00BC5DF3">
      <w:rPr>
        <w:rFonts w:cs="Arial"/>
        <w:noProof/>
        <w:sz w:val="18"/>
      </w:rPr>
      <w:t>8</w:t>
    </w:r>
    <w:r w:rsidRPr="001D41CB"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A5" w:rsidRPr="005076B4" w:rsidRDefault="00947DA5" w:rsidP="005076B4">
    <w:pPr>
      <w:pStyle w:val="Pta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strana </w:t>
    </w:r>
    <w:r w:rsidRPr="005076B4">
      <w:rPr>
        <w:sz w:val="18"/>
      </w:rPr>
      <w:fldChar w:fldCharType="begin"/>
    </w:r>
    <w:r w:rsidRPr="005076B4">
      <w:rPr>
        <w:sz w:val="18"/>
      </w:rPr>
      <w:instrText>PAGE  \* Arabic  \* MERGEFORMAT</w:instrText>
    </w:r>
    <w:r w:rsidRPr="005076B4">
      <w:rPr>
        <w:sz w:val="18"/>
      </w:rPr>
      <w:fldChar w:fldCharType="separate"/>
    </w:r>
    <w:r w:rsidR="00BC5DF3">
      <w:rPr>
        <w:noProof/>
        <w:sz w:val="18"/>
      </w:rPr>
      <w:t>1</w:t>
    </w:r>
    <w:r w:rsidRPr="005076B4">
      <w:rPr>
        <w:sz w:val="18"/>
      </w:rPr>
      <w:fldChar w:fldCharType="end"/>
    </w:r>
    <w:r>
      <w:rPr>
        <w:sz w:val="18"/>
      </w:rPr>
      <w:t xml:space="preserve"> / </w:t>
    </w:r>
    <w:r w:rsidRPr="005076B4">
      <w:rPr>
        <w:sz w:val="18"/>
      </w:rPr>
      <w:fldChar w:fldCharType="begin"/>
    </w:r>
    <w:r w:rsidRPr="005076B4">
      <w:rPr>
        <w:sz w:val="18"/>
      </w:rPr>
      <w:instrText>NUMPAGES  \* Arabic  \* MERGEFORMAT</w:instrText>
    </w:r>
    <w:r w:rsidRPr="005076B4">
      <w:rPr>
        <w:sz w:val="18"/>
      </w:rPr>
      <w:fldChar w:fldCharType="separate"/>
    </w:r>
    <w:r w:rsidR="00BC5DF3">
      <w:rPr>
        <w:noProof/>
        <w:sz w:val="18"/>
      </w:rPr>
      <w:t>8</w:t>
    </w:r>
    <w:r w:rsidRPr="005076B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75" w:rsidRDefault="00EB7275" w:rsidP="00D12377">
      <w:r>
        <w:separator/>
      </w:r>
    </w:p>
  </w:footnote>
  <w:footnote w:type="continuationSeparator" w:id="0">
    <w:p w:rsidR="00EB7275" w:rsidRDefault="00EB7275" w:rsidP="00D1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73"/>
      <w:gridCol w:w="3317"/>
    </w:tblGrid>
    <w:tr w:rsidR="00947DA5" w:rsidRPr="00D12377" w:rsidTr="00F3701C">
      <w:trPr>
        <w:trHeight w:val="1135"/>
      </w:trPr>
      <w:tc>
        <w:tcPr>
          <w:tcW w:w="79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47DA5" w:rsidRDefault="00947DA5" w:rsidP="005076B4">
          <w:pPr>
            <w:pStyle w:val="Hlavika"/>
            <w:rPr>
              <w:rFonts w:cs="Arial"/>
              <w:b/>
              <w:noProof/>
              <w:sz w:val="22"/>
              <w:szCs w:val="24"/>
            </w:rPr>
          </w:pPr>
        </w:p>
        <w:p w:rsidR="00947DA5" w:rsidRPr="005076B4" w:rsidRDefault="00947DA5" w:rsidP="007F130D">
          <w:pPr>
            <w:pStyle w:val="Hlavika"/>
            <w:rPr>
              <w:rFonts w:cs="Arial"/>
              <w:b/>
              <w:noProof/>
              <w:sz w:val="24"/>
              <w:szCs w:val="24"/>
            </w:rPr>
          </w:pPr>
          <w:r>
            <w:rPr>
              <w:b/>
              <w:noProof/>
              <w:sz w:val="22"/>
            </w:rPr>
            <w:t xml:space="preserve">Karta bezpečnostných údajov – </w:t>
          </w:r>
          <w:r w:rsidR="00BC5DF3" w:rsidRPr="00BC5DF3">
            <w:rPr>
              <w:b/>
              <w:noProof/>
              <w:sz w:val="24"/>
            </w:rPr>
            <w:t>APIS</w:t>
          </w:r>
          <w:r w:rsidR="008D5032" w:rsidRPr="008D5032">
            <w:rPr>
              <w:b/>
              <w:noProof/>
              <w:sz w:val="24"/>
            </w:rPr>
            <w:t xml:space="preserve"> 200 SE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47DA5" w:rsidRPr="00D12377" w:rsidRDefault="0047585C">
          <w:pPr>
            <w:pStyle w:val="Hlavika"/>
            <w:jc w:val="right"/>
            <w:rPr>
              <w:rFonts w:cs="Arial"/>
              <w:b/>
              <w:noProof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pl-PL" w:eastAsia="pl-PL" w:bidi="ar-SA"/>
            </w:rPr>
            <w:drawing>
              <wp:inline distT="0" distB="0" distL="0" distR="0" wp14:anchorId="1EE4323B">
                <wp:extent cx="1969135" cy="64643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47DA5" w:rsidRDefault="00947D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173"/>
      <w:gridCol w:w="3317"/>
    </w:tblGrid>
    <w:tr w:rsidR="00947DA5" w:rsidRPr="00D12377" w:rsidTr="005F4AA6">
      <w:tc>
        <w:tcPr>
          <w:tcW w:w="80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47DA5" w:rsidRPr="00D12377" w:rsidRDefault="00947DA5" w:rsidP="00AF1BB5">
          <w:pPr>
            <w:pStyle w:val="Hlavika"/>
            <w:rPr>
              <w:rFonts w:cs="Arial"/>
              <w:b/>
              <w:noProof/>
              <w:sz w:val="22"/>
              <w:szCs w:val="24"/>
            </w:rPr>
          </w:pPr>
          <w:r>
            <w:rPr>
              <w:b/>
              <w:noProof/>
              <w:sz w:val="22"/>
            </w:rPr>
            <w:t>KARTA BEZPEČNOSTNÝCH ÚDAJOV</w:t>
          </w:r>
        </w:p>
        <w:p w:rsidR="00947DA5" w:rsidRPr="00D12377" w:rsidRDefault="00947DA5" w:rsidP="00AF1BB5">
          <w:pPr>
            <w:pStyle w:val="Hlavika"/>
            <w:rPr>
              <w:rFonts w:cs="Arial"/>
              <w:sz w:val="14"/>
              <w:szCs w:val="14"/>
            </w:rPr>
          </w:pPr>
          <w:r>
            <w:rPr>
              <w:sz w:val="14"/>
            </w:rPr>
            <w:t xml:space="preserve">podľa požiadaviek Nariadenia (ES) č. 1907/2006 Európskeho parlamentu a rady z dňa 18. decembra 2006 </w:t>
          </w:r>
          <w:r>
            <w:rPr>
              <w:rFonts w:cs="Arial"/>
              <w:sz w:val="14"/>
              <w:szCs w:val="14"/>
            </w:rPr>
            <w:br/>
          </w:r>
          <w:r>
            <w:rPr>
              <w:sz w:val="14"/>
            </w:rPr>
            <w:t>o registrácii, hodnotení, autorizácii a obmedzovaní chemických látok REACH (Úradný vestník Európskej únie L 396 v znení neskôrších zmien)</w:t>
          </w:r>
        </w:p>
        <w:p w:rsidR="00947DA5" w:rsidRPr="00D12377" w:rsidRDefault="00947DA5" w:rsidP="00AF1BB5">
          <w:pPr>
            <w:pStyle w:val="Hlavika"/>
            <w:rPr>
              <w:rFonts w:cs="Arial"/>
              <w:noProof/>
              <w:sz w:val="18"/>
              <w:szCs w:val="24"/>
            </w:rPr>
          </w:pPr>
        </w:p>
        <w:p w:rsidR="00692FF5" w:rsidRDefault="00BC5DF3" w:rsidP="00AF1BB5">
          <w:pPr>
            <w:pStyle w:val="Hlavika"/>
            <w:rPr>
              <w:rFonts w:cs="Arial"/>
              <w:b/>
              <w:bCs/>
              <w:noProof/>
              <w:sz w:val="24"/>
              <w:szCs w:val="24"/>
            </w:rPr>
          </w:pPr>
          <w:r>
            <w:rPr>
              <w:b/>
              <w:noProof/>
              <w:sz w:val="24"/>
            </w:rPr>
            <w:t>APIS</w:t>
          </w:r>
          <w:r w:rsidR="008D5032" w:rsidRPr="008D5032">
            <w:rPr>
              <w:b/>
              <w:noProof/>
              <w:sz w:val="24"/>
            </w:rPr>
            <w:t xml:space="preserve"> 200 SE</w:t>
          </w:r>
        </w:p>
        <w:p w:rsidR="00947DA5" w:rsidRDefault="00FA54F3" w:rsidP="00AF1BB5">
          <w:pPr>
            <w:pStyle w:val="Hlavika"/>
            <w:rPr>
              <w:rFonts w:cs="Arial"/>
              <w:noProof/>
              <w:sz w:val="16"/>
              <w:szCs w:val="24"/>
            </w:rPr>
          </w:pPr>
          <w:r>
            <w:rPr>
              <w:noProof/>
              <w:sz w:val="16"/>
            </w:rPr>
            <w:t xml:space="preserve">Dátum vyhotovenia: </w:t>
          </w:r>
          <w:r w:rsidR="008D5032" w:rsidRPr="008D5032">
            <w:rPr>
              <w:noProof/>
              <w:sz w:val="16"/>
            </w:rPr>
            <w:t>20.05.2014</w:t>
          </w:r>
        </w:p>
        <w:p w:rsidR="00B574A7" w:rsidRPr="005076B4" w:rsidRDefault="00B574A7" w:rsidP="00AF1BB5">
          <w:pPr>
            <w:pStyle w:val="Hlavika"/>
            <w:rPr>
              <w:rFonts w:cs="Arial"/>
              <w:noProof/>
              <w:sz w:val="16"/>
              <w:szCs w:val="24"/>
            </w:rPr>
          </w:pPr>
          <w:r>
            <w:rPr>
              <w:noProof/>
              <w:sz w:val="16"/>
            </w:rPr>
            <w:t xml:space="preserve">Dátum aktualizácie: </w:t>
          </w:r>
          <w:r w:rsidR="0047585C">
            <w:rPr>
              <w:noProof/>
              <w:sz w:val="16"/>
            </w:rPr>
            <w:t>15.0</w:t>
          </w:r>
          <w:r w:rsidR="00F12F45">
            <w:rPr>
              <w:noProof/>
              <w:sz w:val="16"/>
            </w:rPr>
            <w:t>2.2017</w:t>
          </w:r>
        </w:p>
        <w:p w:rsidR="00947DA5" w:rsidRPr="00D12377" w:rsidRDefault="0047585C" w:rsidP="00F549DC">
          <w:pPr>
            <w:pStyle w:val="Hlavika"/>
            <w:spacing w:after="120"/>
            <w:rPr>
              <w:rFonts w:cs="Arial"/>
              <w:noProof/>
              <w:sz w:val="18"/>
              <w:szCs w:val="24"/>
            </w:rPr>
          </w:pPr>
          <w:r>
            <w:rPr>
              <w:noProof/>
              <w:sz w:val="16"/>
            </w:rPr>
            <w:t>Verzia: 2.</w:t>
          </w:r>
          <w:r w:rsidR="00F12F45">
            <w:rPr>
              <w:noProof/>
              <w:sz w:val="16"/>
            </w:rPr>
            <w:t>1</w:t>
          </w:r>
        </w:p>
      </w:tc>
      <w:tc>
        <w:tcPr>
          <w:tcW w:w="24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47DA5" w:rsidRPr="00D12377" w:rsidRDefault="0047585C" w:rsidP="00AF1BB5">
          <w:pPr>
            <w:pStyle w:val="Hlavika"/>
            <w:jc w:val="right"/>
            <w:rPr>
              <w:rFonts w:cs="Arial"/>
              <w:b/>
              <w:noProof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pl-PL" w:eastAsia="pl-PL" w:bidi="ar-SA"/>
            </w:rPr>
            <w:drawing>
              <wp:inline distT="0" distB="0" distL="0" distR="0" wp14:anchorId="36409F3C">
                <wp:extent cx="1969135" cy="6464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47DA5" w:rsidRDefault="00947D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6A4"/>
    <w:multiLevelType w:val="multilevel"/>
    <w:tmpl w:val="A9F6C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E5782"/>
    <w:multiLevelType w:val="hybridMultilevel"/>
    <w:tmpl w:val="C910E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4CF"/>
    <w:multiLevelType w:val="hybridMultilevel"/>
    <w:tmpl w:val="A546D8F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CA1"/>
    <w:multiLevelType w:val="hybridMultilevel"/>
    <w:tmpl w:val="4C18BF46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35245391"/>
    <w:multiLevelType w:val="hybridMultilevel"/>
    <w:tmpl w:val="70668E38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771D"/>
    <w:multiLevelType w:val="hybridMultilevel"/>
    <w:tmpl w:val="ADBA2962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081E"/>
    <w:multiLevelType w:val="multilevel"/>
    <w:tmpl w:val="4CB08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849F4"/>
    <w:multiLevelType w:val="multilevel"/>
    <w:tmpl w:val="F7D68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163909"/>
    <w:multiLevelType w:val="hybridMultilevel"/>
    <w:tmpl w:val="BC0E006C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3906"/>
    <w:multiLevelType w:val="hybridMultilevel"/>
    <w:tmpl w:val="AC52313A"/>
    <w:lvl w:ilvl="0" w:tplc="42DA0C96">
      <w:start w:val="4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5F271C12"/>
    <w:multiLevelType w:val="hybridMultilevel"/>
    <w:tmpl w:val="2DBAA0A0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12E8"/>
    <w:multiLevelType w:val="hybridMultilevel"/>
    <w:tmpl w:val="E78CA71E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01D7B66"/>
    <w:multiLevelType w:val="hybridMultilevel"/>
    <w:tmpl w:val="77348E32"/>
    <w:lvl w:ilvl="0" w:tplc="3BAA7C7E">
      <w:numFmt w:val="bullet"/>
      <w:lvlText w:val="-"/>
      <w:lvlJc w:val="left"/>
      <w:pPr>
        <w:ind w:left="1321" w:hanging="360"/>
      </w:p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623007AD"/>
    <w:multiLevelType w:val="hybridMultilevel"/>
    <w:tmpl w:val="70E4404A"/>
    <w:lvl w:ilvl="0" w:tplc="3BAA7C7E">
      <w:numFmt w:val="bullet"/>
      <w:lvlText w:val="-"/>
      <w:lvlJc w:val="left"/>
      <w:pPr>
        <w:ind w:left="754" w:hanging="360"/>
      </w:p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452636B"/>
    <w:multiLevelType w:val="hybridMultilevel"/>
    <w:tmpl w:val="A71A409A"/>
    <w:lvl w:ilvl="0" w:tplc="42DA0C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77"/>
    <w:rsid w:val="000048B3"/>
    <w:rsid w:val="00016B9A"/>
    <w:rsid w:val="00026D81"/>
    <w:rsid w:val="00033657"/>
    <w:rsid w:val="000364D4"/>
    <w:rsid w:val="00041515"/>
    <w:rsid w:val="000437C1"/>
    <w:rsid w:val="0004404E"/>
    <w:rsid w:val="000552C5"/>
    <w:rsid w:val="00055857"/>
    <w:rsid w:val="00070502"/>
    <w:rsid w:val="00083E34"/>
    <w:rsid w:val="000879CB"/>
    <w:rsid w:val="000934A0"/>
    <w:rsid w:val="000A1131"/>
    <w:rsid w:val="000E7DBE"/>
    <w:rsid w:val="001003A5"/>
    <w:rsid w:val="001101A0"/>
    <w:rsid w:val="0011250C"/>
    <w:rsid w:val="00134724"/>
    <w:rsid w:val="00155AC0"/>
    <w:rsid w:val="00162941"/>
    <w:rsid w:val="00165CD8"/>
    <w:rsid w:val="00166917"/>
    <w:rsid w:val="00177CF3"/>
    <w:rsid w:val="001845BD"/>
    <w:rsid w:val="001960C2"/>
    <w:rsid w:val="001C4ADA"/>
    <w:rsid w:val="001D2A1F"/>
    <w:rsid w:val="001D41CB"/>
    <w:rsid w:val="001D5130"/>
    <w:rsid w:val="001D614D"/>
    <w:rsid w:val="001E6044"/>
    <w:rsid w:val="001F261F"/>
    <w:rsid w:val="00201796"/>
    <w:rsid w:val="002032D9"/>
    <w:rsid w:val="002246C3"/>
    <w:rsid w:val="0023737B"/>
    <w:rsid w:val="0024387E"/>
    <w:rsid w:val="00253DB5"/>
    <w:rsid w:val="00256B1F"/>
    <w:rsid w:val="00277E99"/>
    <w:rsid w:val="00284259"/>
    <w:rsid w:val="002A0822"/>
    <w:rsid w:val="002A603E"/>
    <w:rsid w:val="002A68DE"/>
    <w:rsid w:val="002A7D3F"/>
    <w:rsid w:val="002B2B38"/>
    <w:rsid w:val="002B45E8"/>
    <w:rsid w:val="002E15AA"/>
    <w:rsid w:val="002E2F6A"/>
    <w:rsid w:val="002E651E"/>
    <w:rsid w:val="002F720D"/>
    <w:rsid w:val="00314F72"/>
    <w:rsid w:val="00330FB8"/>
    <w:rsid w:val="0036508A"/>
    <w:rsid w:val="0039196C"/>
    <w:rsid w:val="003B1CB7"/>
    <w:rsid w:val="003C21EE"/>
    <w:rsid w:val="003D29DE"/>
    <w:rsid w:val="003D6F98"/>
    <w:rsid w:val="0040114D"/>
    <w:rsid w:val="004234C6"/>
    <w:rsid w:val="00426B49"/>
    <w:rsid w:val="00431F0D"/>
    <w:rsid w:val="004502CD"/>
    <w:rsid w:val="0045365D"/>
    <w:rsid w:val="0046311B"/>
    <w:rsid w:val="0047585C"/>
    <w:rsid w:val="0047654A"/>
    <w:rsid w:val="004840EE"/>
    <w:rsid w:val="004863DE"/>
    <w:rsid w:val="004A1195"/>
    <w:rsid w:val="004C7E7C"/>
    <w:rsid w:val="004D4F9C"/>
    <w:rsid w:val="004E187A"/>
    <w:rsid w:val="00501F3E"/>
    <w:rsid w:val="005076B4"/>
    <w:rsid w:val="005125F0"/>
    <w:rsid w:val="0051275D"/>
    <w:rsid w:val="00521108"/>
    <w:rsid w:val="0054037E"/>
    <w:rsid w:val="0054205C"/>
    <w:rsid w:val="00552729"/>
    <w:rsid w:val="00554300"/>
    <w:rsid w:val="00560492"/>
    <w:rsid w:val="00561BA1"/>
    <w:rsid w:val="0057020B"/>
    <w:rsid w:val="005750A1"/>
    <w:rsid w:val="005B0095"/>
    <w:rsid w:val="005B4634"/>
    <w:rsid w:val="005C4F71"/>
    <w:rsid w:val="005E2BEF"/>
    <w:rsid w:val="005E4ED6"/>
    <w:rsid w:val="005F4AA6"/>
    <w:rsid w:val="00613DAD"/>
    <w:rsid w:val="00616925"/>
    <w:rsid w:val="00657D05"/>
    <w:rsid w:val="006907AE"/>
    <w:rsid w:val="00692FF5"/>
    <w:rsid w:val="006A0F1E"/>
    <w:rsid w:val="006A523A"/>
    <w:rsid w:val="006A5E39"/>
    <w:rsid w:val="006D56F7"/>
    <w:rsid w:val="006E08B9"/>
    <w:rsid w:val="006E2FF4"/>
    <w:rsid w:val="006E7D80"/>
    <w:rsid w:val="006F58CA"/>
    <w:rsid w:val="007024E9"/>
    <w:rsid w:val="00726D96"/>
    <w:rsid w:val="00740A2F"/>
    <w:rsid w:val="007435A7"/>
    <w:rsid w:val="00760252"/>
    <w:rsid w:val="00774599"/>
    <w:rsid w:val="00793A70"/>
    <w:rsid w:val="007B0DAA"/>
    <w:rsid w:val="007C0B30"/>
    <w:rsid w:val="007D5E3C"/>
    <w:rsid w:val="007D7FD4"/>
    <w:rsid w:val="007E385D"/>
    <w:rsid w:val="007F130D"/>
    <w:rsid w:val="007F3938"/>
    <w:rsid w:val="007F4B5A"/>
    <w:rsid w:val="00800986"/>
    <w:rsid w:val="008066C5"/>
    <w:rsid w:val="00810565"/>
    <w:rsid w:val="00823106"/>
    <w:rsid w:val="00823D26"/>
    <w:rsid w:val="00835E46"/>
    <w:rsid w:val="00866F0B"/>
    <w:rsid w:val="00871081"/>
    <w:rsid w:val="008914AC"/>
    <w:rsid w:val="008A5321"/>
    <w:rsid w:val="008C20D7"/>
    <w:rsid w:val="008D4043"/>
    <w:rsid w:val="008D4386"/>
    <w:rsid w:val="008D5032"/>
    <w:rsid w:val="008E234E"/>
    <w:rsid w:val="008E6514"/>
    <w:rsid w:val="00901D22"/>
    <w:rsid w:val="00901F42"/>
    <w:rsid w:val="00902281"/>
    <w:rsid w:val="00913055"/>
    <w:rsid w:val="009409F4"/>
    <w:rsid w:val="00946ECF"/>
    <w:rsid w:val="00947DA5"/>
    <w:rsid w:val="009554DD"/>
    <w:rsid w:val="009603E2"/>
    <w:rsid w:val="009613E1"/>
    <w:rsid w:val="00963276"/>
    <w:rsid w:val="00982604"/>
    <w:rsid w:val="009B32CF"/>
    <w:rsid w:val="009B74B5"/>
    <w:rsid w:val="009C249B"/>
    <w:rsid w:val="009C47BD"/>
    <w:rsid w:val="009C56A7"/>
    <w:rsid w:val="009D649B"/>
    <w:rsid w:val="00A110F6"/>
    <w:rsid w:val="00A11EE1"/>
    <w:rsid w:val="00A32DA1"/>
    <w:rsid w:val="00A33C5E"/>
    <w:rsid w:val="00A60ED4"/>
    <w:rsid w:val="00A70F8C"/>
    <w:rsid w:val="00A92400"/>
    <w:rsid w:val="00AA671E"/>
    <w:rsid w:val="00AC6916"/>
    <w:rsid w:val="00AC7075"/>
    <w:rsid w:val="00AD0BCE"/>
    <w:rsid w:val="00AD6348"/>
    <w:rsid w:val="00AD7CA3"/>
    <w:rsid w:val="00AE77E8"/>
    <w:rsid w:val="00AF1BB5"/>
    <w:rsid w:val="00AF41BE"/>
    <w:rsid w:val="00AF549E"/>
    <w:rsid w:val="00AF7C06"/>
    <w:rsid w:val="00B26227"/>
    <w:rsid w:val="00B26B32"/>
    <w:rsid w:val="00B34855"/>
    <w:rsid w:val="00B363EF"/>
    <w:rsid w:val="00B574A7"/>
    <w:rsid w:val="00B63992"/>
    <w:rsid w:val="00B728D1"/>
    <w:rsid w:val="00B7443F"/>
    <w:rsid w:val="00B951F4"/>
    <w:rsid w:val="00B967AA"/>
    <w:rsid w:val="00B97590"/>
    <w:rsid w:val="00BA0C02"/>
    <w:rsid w:val="00BA1279"/>
    <w:rsid w:val="00BB0868"/>
    <w:rsid w:val="00BB1382"/>
    <w:rsid w:val="00BB75FE"/>
    <w:rsid w:val="00BC5DF3"/>
    <w:rsid w:val="00BE54E3"/>
    <w:rsid w:val="00BE6CA4"/>
    <w:rsid w:val="00BF37D9"/>
    <w:rsid w:val="00BF4DC4"/>
    <w:rsid w:val="00C055F2"/>
    <w:rsid w:val="00C33D96"/>
    <w:rsid w:val="00C50375"/>
    <w:rsid w:val="00C563F3"/>
    <w:rsid w:val="00C57839"/>
    <w:rsid w:val="00C7317E"/>
    <w:rsid w:val="00C87BA6"/>
    <w:rsid w:val="00C93FA2"/>
    <w:rsid w:val="00C97119"/>
    <w:rsid w:val="00CF0DBB"/>
    <w:rsid w:val="00D03615"/>
    <w:rsid w:val="00D07220"/>
    <w:rsid w:val="00D12377"/>
    <w:rsid w:val="00D32678"/>
    <w:rsid w:val="00D37B1D"/>
    <w:rsid w:val="00D7036C"/>
    <w:rsid w:val="00D85EB2"/>
    <w:rsid w:val="00D92AAD"/>
    <w:rsid w:val="00DA489A"/>
    <w:rsid w:val="00DA48ED"/>
    <w:rsid w:val="00DE71A9"/>
    <w:rsid w:val="00DF5543"/>
    <w:rsid w:val="00E1077F"/>
    <w:rsid w:val="00E23A41"/>
    <w:rsid w:val="00E31187"/>
    <w:rsid w:val="00E5239F"/>
    <w:rsid w:val="00E56BFD"/>
    <w:rsid w:val="00E75F40"/>
    <w:rsid w:val="00E8397E"/>
    <w:rsid w:val="00E903A0"/>
    <w:rsid w:val="00EA54C1"/>
    <w:rsid w:val="00EA55D0"/>
    <w:rsid w:val="00EB7275"/>
    <w:rsid w:val="00EB7416"/>
    <w:rsid w:val="00EC1277"/>
    <w:rsid w:val="00EC3B86"/>
    <w:rsid w:val="00EC66D0"/>
    <w:rsid w:val="00ED09FC"/>
    <w:rsid w:val="00ED3E3C"/>
    <w:rsid w:val="00ED48B2"/>
    <w:rsid w:val="00ED5C90"/>
    <w:rsid w:val="00F12F45"/>
    <w:rsid w:val="00F23E03"/>
    <w:rsid w:val="00F24CF8"/>
    <w:rsid w:val="00F320B0"/>
    <w:rsid w:val="00F3701C"/>
    <w:rsid w:val="00F549DC"/>
    <w:rsid w:val="00F64FE2"/>
    <w:rsid w:val="00F66EAD"/>
    <w:rsid w:val="00F71B0B"/>
    <w:rsid w:val="00F821BB"/>
    <w:rsid w:val="00F8676B"/>
    <w:rsid w:val="00F96138"/>
    <w:rsid w:val="00FA54F3"/>
    <w:rsid w:val="00FB18B0"/>
    <w:rsid w:val="00FC0C22"/>
    <w:rsid w:val="00FC5BDF"/>
    <w:rsid w:val="00FD1BD9"/>
    <w:rsid w:val="00FD343F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3B17"/>
  <w15:docId w15:val="{9A36D546-4D2C-4690-A08A-ADD422F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77E8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</w:rPr>
  </w:style>
  <w:style w:type="paragraph" w:styleId="Nadpis5">
    <w:name w:val="heading 5"/>
    <w:basedOn w:val="Normlny"/>
    <w:next w:val="Normlny"/>
    <w:link w:val="Nadpis5Char"/>
    <w:qFormat/>
    <w:rsid w:val="00D12377"/>
    <w:pPr>
      <w:keepNext/>
      <w:keepLines/>
      <w:spacing w:after="120"/>
      <w:outlineLvl w:val="4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23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2377"/>
  </w:style>
  <w:style w:type="paragraph" w:styleId="Pta">
    <w:name w:val="footer"/>
    <w:basedOn w:val="Normlny"/>
    <w:link w:val="PtaChar"/>
    <w:uiPriority w:val="99"/>
    <w:unhideWhenUsed/>
    <w:rsid w:val="00D123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377"/>
  </w:style>
  <w:style w:type="paragraph" w:styleId="Textbubliny">
    <w:name w:val="Balloon Text"/>
    <w:basedOn w:val="Normlny"/>
    <w:link w:val="TextbublinyChar"/>
    <w:uiPriority w:val="99"/>
    <w:semiHidden/>
    <w:unhideWhenUsed/>
    <w:rsid w:val="00D123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377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D12377"/>
    <w:rPr>
      <w:rFonts w:eastAsia="Times New Roman"/>
      <w:snapToGrid w:val="0"/>
      <w:szCs w:val="20"/>
      <w:lang w:eastAsia="sk-SK"/>
    </w:rPr>
  </w:style>
  <w:style w:type="paragraph" w:customStyle="1" w:styleId="CWHead">
    <w:name w:val="CWHead"/>
    <w:basedOn w:val="Normlny"/>
    <w:rsid w:val="00D12377"/>
    <w:pPr>
      <w:pBdr>
        <w:top w:val="single" w:sz="12" w:space="1" w:color="auto"/>
        <w:bottom w:val="single" w:sz="12" w:space="1" w:color="auto"/>
      </w:pBdr>
      <w:tabs>
        <w:tab w:val="left" w:pos="2880"/>
      </w:tabs>
      <w:spacing w:before="120" w:after="160"/>
    </w:pPr>
    <w:rPr>
      <w:rFonts w:ascii="Helvetica" w:hAnsi="Helvetica"/>
      <w:sz w:val="28"/>
    </w:rPr>
  </w:style>
  <w:style w:type="paragraph" w:styleId="Obyajntext">
    <w:name w:val="Plain Text"/>
    <w:basedOn w:val="Normlny"/>
    <w:link w:val="ObyajntextChar"/>
    <w:uiPriority w:val="99"/>
    <w:rsid w:val="00D12377"/>
    <w:pPr>
      <w:widowControl/>
    </w:pPr>
    <w:rPr>
      <w:rFonts w:ascii="Courier New" w:hAnsi="Courier New"/>
      <w:snapToGrid/>
    </w:rPr>
  </w:style>
  <w:style w:type="character" w:customStyle="1" w:styleId="ObyajntextChar">
    <w:name w:val="Obyčajný text Char"/>
    <w:basedOn w:val="Predvolenpsmoodseku"/>
    <w:link w:val="Obyajntext"/>
    <w:uiPriority w:val="99"/>
    <w:rsid w:val="00D12377"/>
    <w:rPr>
      <w:rFonts w:ascii="Courier New" w:eastAsia="Times New Roman" w:hAnsi="Courier New"/>
      <w:sz w:val="20"/>
      <w:szCs w:val="20"/>
      <w:lang w:val="sk-SK" w:eastAsia="sk-SK"/>
    </w:rPr>
  </w:style>
  <w:style w:type="table" w:styleId="Mriekatabuky">
    <w:name w:val="Table Grid"/>
    <w:basedOn w:val="Normlnatabuka"/>
    <w:rsid w:val="00D1237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Predvolenpsmoodseku"/>
    <w:rsid w:val="00D12377"/>
  </w:style>
  <w:style w:type="paragraph" w:styleId="Odsekzoznamu">
    <w:name w:val="List Paragraph"/>
    <w:basedOn w:val="Normlny"/>
    <w:uiPriority w:val="34"/>
    <w:qFormat/>
    <w:rsid w:val="00B363EF"/>
    <w:pPr>
      <w:ind w:left="720"/>
      <w:contextualSpacing/>
    </w:pPr>
  </w:style>
  <w:style w:type="paragraph" w:customStyle="1" w:styleId="BodyText31">
    <w:name w:val="Body Text 31"/>
    <w:basedOn w:val="Normlny"/>
    <w:rsid w:val="00E3118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napToGrid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1960C2"/>
    <w:rPr>
      <w:rFonts w:ascii="Arial" w:hAnsi="Arial" w:cs="Arial" w:hint="default"/>
      <w:b w:val="0"/>
      <w:bCs w:val="0"/>
      <w:color w:val="0066CC"/>
      <w:sz w:val="21"/>
      <w:szCs w:val="21"/>
      <w:u w:val="single"/>
    </w:rPr>
  </w:style>
  <w:style w:type="paragraph" w:customStyle="1" w:styleId="Default">
    <w:name w:val="Default"/>
    <w:rsid w:val="00BB086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6B98E9-57D6-4084-97D7-6B78D61B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Dobrochna Panka</dc:creator>
  <cp:lastModifiedBy>Michal Šlosár</cp:lastModifiedBy>
  <cp:revision>5</cp:revision>
  <cp:lastPrinted>2013-03-13T12:28:00Z</cp:lastPrinted>
  <dcterms:created xsi:type="dcterms:W3CDTF">2017-03-17T10:24:00Z</dcterms:created>
  <dcterms:modified xsi:type="dcterms:W3CDTF">2019-02-15T12:18:00Z</dcterms:modified>
</cp:coreProperties>
</file>